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5A0994" w:rsidP="5C5DEAFD" w:rsidRDefault="005A0994" w14:paraId="672A6659" wp14:textId="014A302D">
      <w:pPr>
        <w:spacing w:before="240"/>
        <w:jc w:val="center"/>
        <w:rPr>
          <w:rFonts w:ascii="Helvetica" w:hAnsi="Helvetica" w:eastAsia="Helvetica" w:cs="Helvetica"/>
          <w:b w:val="1"/>
          <w:bCs w:val="1"/>
          <w:sz w:val="40"/>
          <w:szCs w:val="40"/>
        </w:rPr>
      </w:pPr>
      <w:r w:rsidRPr="5C5DEAFD" w:rsidR="70C487E5">
        <w:rPr>
          <w:rFonts w:ascii="Helvetica" w:hAnsi="Helvetica" w:eastAsia="Helvetica" w:cs="Helvetica"/>
          <w:b w:val="1"/>
          <w:bCs w:val="1"/>
          <w:sz w:val="40"/>
          <w:szCs w:val="40"/>
        </w:rPr>
        <w:t>DRUG SAFETY NOTICE</w:t>
      </w:r>
    </w:p>
    <w:p w:rsidR="70C487E5" w:rsidP="5C5DEAFD" w:rsidRDefault="70C487E5" w14:paraId="76DF2A56" w14:textId="2F4EAF9A">
      <w:pPr>
        <w:spacing w:before="240"/>
        <w:jc w:val="center"/>
        <w:rPr>
          <w:rFonts w:ascii="Helvetica" w:hAnsi="Helvetica" w:eastAsia="Helvetica" w:cs="Helvetica"/>
          <w:b w:val="1"/>
          <w:bCs w:val="1"/>
          <w:sz w:val="40"/>
          <w:szCs w:val="40"/>
        </w:rPr>
      </w:pPr>
      <w:r w:rsidRPr="5C5DEAFD" w:rsidR="70C487E5">
        <w:rPr>
          <w:rFonts w:ascii="Helvetica" w:hAnsi="Helvetica" w:eastAsia="Helvetica" w:cs="Helvetica"/>
          <w:b w:val="1"/>
          <w:bCs w:val="1"/>
          <w:sz w:val="40"/>
          <w:szCs w:val="40"/>
        </w:rPr>
        <w:t>SUPPLY CHANGE</w:t>
      </w:r>
    </w:p>
    <w:tbl>
      <w:tblPr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xmlns:wp14="http://schemas.microsoft.com/office/word/2010/wordml" w:rsidRPr="005A0994" w:rsidR="00997200" w:rsidTr="0EE6B8E0" w14:paraId="70746268" wp14:textId="77777777">
        <w:trPr>
          <w:trHeight w:val="621"/>
        </w:trPr>
        <w:tc>
          <w:tcPr>
            <w:tcW w:w="10490" w:type="dxa"/>
            <w:gridSpan w:val="2"/>
            <w:shd w:val="clear" w:color="auto" w:fill="auto"/>
            <w:tcMar/>
          </w:tcPr>
          <w:p w:rsidRPr="005A0994" w:rsidR="00997200" w:rsidP="520BD2E7" w:rsidRDefault="00997200" w14:paraId="41D1311F" wp14:textId="77777777">
            <w:pPr>
              <w:spacing w:before="240" w:after="240"/>
              <w:jc w:val="center"/>
              <w:rPr>
                <w:rFonts w:ascii="Helvetica" w:hAnsi="Helvetica" w:eastAsia="Helvetica" w:cs="Helvetica"/>
                <w:b w:val="1"/>
                <w:bCs w:val="1"/>
              </w:rPr>
            </w:pPr>
            <w:r w:rsidRPr="1D9F520C" w:rsidR="6ABC41BB">
              <w:rPr>
                <w:rFonts w:ascii="Helvetica" w:hAnsi="Helvetica" w:eastAsia="Helvetica" w:cs="Helvetica"/>
                <w:b w:val="1"/>
                <w:bCs w:val="1"/>
              </w:rPr>
              <w:t>DRUG NAME/STRENGTH/FORM</w:t>
            </w:r>
            <w:r w:rsidRPr="1D9F520C" w:rsidR="6D36A64E">
              <w:rPr>
                <w:rFonts w:ascii="Helvetica" w:hAnsi="Helvetica" w:eastAsia="Helvetica" w:cs="Helvetica"/>
                <w:b w:val="1"/>
                <w:bCs w:val="1"/>
              </w:rPr>
              <w:t>:</w:t>
            </w:r>
          </w:p>
          <w:p w:rsidRPr="005A0994" w:rsidR="00C843CC" w:rsidP="1D9F520C" w:rsidRDefault="00C843CC" w14:paraId="54656062" wp14:textId="6E92F82A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</w:pPr>
            <w:r w:rsidRPr="0EE6B8E0" w:rsidR="77861F7E"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  <w:t>THIAMINE</w:t>
            </w:r>
            <w:r w:rsidRPr="0EE6B8E0" w:rsidR="7C2B6FD7"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  <w:t xml:space="preserve"> </w:t>
            </w:r>
            <w:r w:rsidRPr="0EE6B8E0" w:rsidR="07AA21FA"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  <w:t xml:space="preserve">HYDROCHLORIDE </w:t>
            </w:r>
            <w:r w:rsidRPr="0EE6B8E0" w:rsidR="4D61710E"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  <w:t>2</w:t>
            </w:r>
            <w:r w:rsidRPr="0EE6B8E0" w:rsidR="07AA21FA"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  <w:t xml:space="preserve">00mg in </w:t>
            </w:r>
            <w:r w:rsidRPr="0EE6B8E0" w:rsidR="4E763480"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  <w:t>2</w:t>
            </w:r>
            <w:r w:rsidRPr="0EE6B8E0" w:rsidR="07AA21FA">
              <w:rPr>
                <w:rFonts w:ascii="Arial" w:hAnsi="Arial" w:eastAsia="Arial" w:cs="Arial"/>
                <w:noProof w:val="0"/>
                <w:color w:val="ED7C31"/>
                <w:sz w:val="40"/>
                <w:szCs w:val="40"/>
                <w:lang w:val="en-GB"/>
              </w:rPr>
              <w:t>ml IV</w:t>
            </w:r>
          </w:p>
          <w:p w:rsidRPr="005A0994" w:rsidR="00C843CC" w:rsidP="1D9F520C" w:rsidRDefault="00C843CC" w14:paraId="5DAB6C7B" wp14:textId="2A364B27">
            <w:pPr>
              <w:pStyle w:val="Normal"/>
              <w:suppressLineNumbers w:val="0"/>
              <w:bidi w:val="0"/>
              <w:spacing w:before="0" w:beforeAutospacing="off" w:after="400" w:afterAutospacing="off" w:line="259" w:lineRule="auto"/>
              <w:ind w:left="0" w:right="0"/>
              <w:jc w:val="center"/>
              <w:rPr>
                <w:rFonts w:ascii="Arial" w:hAnsi="Arial" w:eastAsia="Arial" w:cs="Arial"/>
                <w:noProof w:val="0"/>
                <w:color w:val="ED7C31"/>
                <w:sz w:val="32"/>
                <w:szCs w:val="32"/>
                <w:lang w:val="en-GB"/>
              </w:rPr>
            </w:pPr>
            <w:r w:rsidRPr="5C5DEAFD" w:rsidR="4EAB0B50">
              <w:rPr>
                <w:rFonts w:ascii="Arial" w:hAnsi="Arial" w:eastAsia="Arial" w:cs="Arial"/>
                <w:noProof w:val="0"/>
                <w:color w:val="ED7C31"/>
                <w:sz w:val="32"/>
                <w:szCs w:val="32"/>
                <w:lang w:val="en-GB"/>
              </w:rPr>
              <w:t>(</w:t>
            </w:r>
            <w:r w:rsidRPr="5C5DEAFD" w:rsidR="7C2B6FD7">
              <w:rPr>
                <w:rFonts w:ascii="Arial" w:hAnsi="Arial" w:eastAsia="Arial" w:cs="Arial"/>
                <w:noProof w:val="0"/>
                <w:color w:val="ED7C31"/>
                <w:sz w:val="32"/>
                <w:szCs w:val="32"/>
                <w:lang w:val="en-GB"/>
              </w:rPr>
              <w:t xml:space="preserve">TO REPLACE </w:t>
            </w:r>
            <w:r w:rsidRPr="5C5DEAFD" w:rsidR="77861F7E">
              <w:rPr>
                <w:rFonts w:ascii="Arial" w:hAnsi="Arial" w:eastAsia="Arial" w:cs="Arial"/>
                <w:noProof w:val="0"/>
                <w:color w:val="ED7C31"/>
                <w:sz w:val="32"/>
                <w:szCs w:val="32"/>
                <w:lang w:val="en-GB"/>
              </w:rPr>
              <w:t>PABRINEX</w:t>
            </w:r>
            <w:r w:rsidRPr="5C5DEAFD" w:rsidR="7442DB19">
              <w:rPr>
                <w:rFonts w:ascii="Arial" w:hAnsi="Arial" w:eastAsia="Arial" w:cs="Arial"/>
                <w:noProof w:val="0"/>
                <w:color w:val="ED7C31"/>
                <w:sz w:val="32"/>
                <w:szCs w:val="32"/>
                <w:lang w:val="en-GB"/>
              </w:rPr>
              <w:t xml:space="preserve"> IV</w:t>
            </w:r>
            <w:r w:rsidRPr="5C5DEAFD" w:rsidR="77861F7E">
              <w:rPr>
                <w:rFonts w:ascii="Arial" w:hAnsi="Arial" w:eastAsia="Arial" w:cs="Arial"/>
                <w:noProof w:val="0"/>
                <w:color w:val="ED7C31"/>
                <w:sz w:val="32"/>
                <w:szCs w:val="32"/>
                <w:lang w:val="en-GB"/>
              </w:rPr>
              <w:t xml:space="preserve"> SHORTAGE</w:t>
            </w:r>
            <w:r w:rsidRPr="5C5DEAFD" w:rsidR="0DD9A41B">
              <w:rPr>
                <w:rFonts w:ascii="Arial" w:hAnsi="Arial" w:eastAsia="Arial" w:cs="Arial"/>
                <w:noProof w:val="0"/>
                <w:color w:val="ED7C31"/>
                <w:sz w:val="32"/>
                <w:szCs w:val="32"/>
                <w:lang w:val="en-GB"/>
              </w:rPr>
              <w:t>)</w:t>
            </w:r>
          </w:p>
        </w:tc>
      </w:tr>
      <w:tr xmlns:wp14="http://schemas.microsoft.com/office/word/2010/wordml" w:rsidRPr="005A0994" w:rsidR="004F2E13" w:rsidTr="0EE6B8E0" w14:paraId="08A71831" wp14:textId="77777777">
        <w:trPr>
          <w:trHeight w:val="2355"/>
        </w:trPr>
        <w:tc>
          <w:tcPr>
            <w:tcW w:w="10490" w:type="dxa"/>
            <w:gridSpan w:val="2"/>
            <w:shd w:val="clear" w:color="auto" w:fill="auto"/>
            <w:tcMar/>
          </w:tcPr>
          <w:p w:rsidRPr="005A0994" w:rsidR="003A5E44" w:rsidP="520BD2E7" w:rsidRDefault="003A5E44" w14:paraId="02EB378F" wp14:textId="77777777">
            <w:pPr>
              <w:rPr>
                <w:rFonts w:ascii="Helvetica" w:hAnsi="Helvetica" w:eastAsia="Helvetica" w:cs="Helvetica"/>
                <w:b w:val="1"/>
                <w:bCs w:val="1"/>
                <w:color w:val="auto"/>
                <w:sz w:val="24"/>
                <w:szCs w:val="24"/>
                <w:u w:val="single"/>
              </w:rPr>
            </w:pPr>
          </w:p>
          <w:p w:rsidR="0BE95066" w:rsidP="520BD2E7" w:rsidRDefault="0BE95066" w14:paraId="7045E306" w14:textId="65990468">
            <w:pPr>
              <w:pStyle w:val="Normal"/>
              <w:rPr>
                <w:rFonts w:ascii="Helvetica" w:hAnsi="Helvetica" w:eastAsia="Helvetica" w:cs="Helvetica"/>
                <w:b w:val="1"/>
                <w:bCs w:val="1"/>
                <w:color w:val="auto"/>
                <w:sz w:val="24"/>
                <w:szCs w:val="24"/>
                <w:u w:val="single"/>
              </w:rPr>
            </w:pPr>
          </w:p>
          <w:p w:rsidR="6ABC41BB" w:rsidP="1D9F520C" w:rsidRDefault="6ABC41BB" w14:paraId="2E67E9C7" w14:textId="631EBCC6">
            <w:pPr>
              <w:spacing w:after="240"/>
              <w:rPr>
                <w:rFonts w:ascii="Helvetica" w:hAnsi="Helvetica" w:eastAsia="Helvetica" w:cs="Helvetica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1D9F520C" w:rsidR="6ABC41BB">
              <w:rPr>
                <w:rFonts w:ascii="Helvetica" w:hAnsi="Helvetica" w:eastAsia="Helvetica" w:cs="Helvetica"/>
                <w:b w:val="1"/>
                <w:bCs w:val="1"/>
                <w:color w:val="auto"/>
                <w:sz w:val="24"/>
                <w:szCs w:val="24"/>
                <w:u w:val="single"/>
              </w:rPr>
              <w:t>PROBLEM</w:t>
            </w:r>
            <w:r w:rsidRPr="1D9F520C" w:rsidR="7566C278">
              <w:rPr>
                <w:noProof w:val="0"/>
                <w:lang w:val="en-GB"/>
              </w:rPr>
              <w:t xml:space="preserve"> </w:t>
            </w:r>
          </w:p>
          <w:p w:rsidR="4F31841C" w:rsidP="1D9F520C" w:rsidRDefault="4F31841C" w14:paraId="7941B6D5" w14:textId="3573A87D">
            <w:pPr>
              <w:pStyle w:val="ListParagraph"/>
              <w:numPr>
                <w:ilvl w:val="0"/>
                <w:numId w:val="105"/>
              </w:numPr>
              <w:bidi w:val="0"/>
              <w:spacing w:after="160" w:line="279" w:lineRule="auto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Pabrinex</w:t>
            </w:r>
            <w:r w:rsidRPr="1D9F520C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supplies will not be available indefinitely once current reserves run out.</w:t>
            </w:r>
          </w:p>
          <w:p w:rsidR="4F31841C" w:rsidP="1D9F520C" w:rsidRDefault="4F31841C" w14:paraId="6A7A5E80" w14:textId="6679A9D2">
            <w:pPr>
              <w:pStyle w:val="ListParagraph"/>
              <w:numPr>
                <w:ilvl w:val="0"/>
                <w:numId w:val="105"/>
              </w:num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There are no other licensed parenteral alternatives to </w:t>
            </w:r>
            <w:r w:rsidRPr="1D9F520C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Pabrinex</w:t>
            </w:r>
            <w:r w:rsidRPr="1D9F520C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intravenous and intramuscular injections.</w:t>
            </w:r>
          </w:p>
          <w:p w:rsidR="4F31841C" w:rsidP="5C5DEAFD" w:rsidRDefault="4F31841C" w14:paraId="39AD7D7B" w14:textId="2630F231">
            <w:pPr>
              <w:pStyle w:val="ListParagraph"/>
              <w:numPr>
                <w:ilvl w:val="0"/>
                <w:numId w:val="105"/>
              </w:num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5C5DEAFD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single"/>
                <w:lang w:val="en-US"/>
              </w:rPr>
              <w:t xml:space="preserve">Thiamine </w:t>
            </w:r>
            <w:r w:rsidRPr="5C5DEAFD" w:rsidR="1DBD54A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single"/>
                <w:lang w:val="en-US"/>
              </w:rPr>
              <w:t>hydrochloride</w:t>
            </w:r>
            <w:r w:rsidRPr="5C5DEAFD" w:rsidR="1DBD54A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single"/>
                <w:lang w:val="en-US"/>
              </w:rPr>
              <w:t xml:space="preserve"> </w:t>
            </w:r>
            <w:r w:rsidRPr="5C5DEAFD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none"/>
                <w:lang w:val="en-US"/>
              </w:rPr>
              <w:t>IV</w:t>
            </w:r>
            <w:r w:rsidRPr="5C5DEAFD" w:rsidR="4ACDBFC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none"/>
                <w:lang w:val="en-US"/>
              </w:rPr>
              <w:t xml:space="preserve"> (Thiamine IV) </w:t>
            </w:r>
            <w:r w:rsidRPr="5C5DEAFD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none"/>
                <w:lang w:val="en-US"/>
              </w:rPr>
              <w:t xml:space="preserve">is an unlicensed alternative to </w:t>
            </w:r>
            <w:r w:rsidRPr="5C5DEAFD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Pabrinex</w:t>
            </w:r>
            <w:r w:rsidRPr="5C5DEAFD" w:rsidR="4F31841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for the two indications outlined below (alcohol dependency and preventing refeeding syndrome).</w:t>
            </w:r>
          </w:p>
          <w:p w:rsidR="1D9F520C" w:rsidP="1D9F520C" w:rsidRDefault="1D9F520C" w14:paraId="1EA7BED9" w14:textId="23C4B451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noProof w:val="0"/>
                <w:lang w:val="en-GB"/>
              </w:rPr>
            </w:pPr>
          </w:p>
          <w:p w:rsidR="00A81F74" w:rsidP="520BD2E7" w:rsidRDefault="00997200" w14:paraId="5551C729" wp14:textId="4629F747">
            <w:pPr>
              <w:spacing w:after="240"/>
              <w:rPr>
                <w:rFonts w:ascii="Helvetica" w:hAnsi="Helvetica" w:eastAsia="Helvetica" w:cs="Helvetica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1989460F" w:rsidR="46F77B25">
              <w:rPr>
                <w:rFonts w:ascii="Helvetica" w:hAnsi="Helvetica" w:eastAsia="Helvetica" w:cs="Helvetica"/>
                <w:b w:val="1"/>
                <w:bCs w:val="1"/>
                <w:color w:val="auto"/>
                <w:sz w:val="24"/>
                <w:szCs w:val="24"/>
                <w:u w:val="single"/>
              </w:rPr>
              <w:t>ADV</w:t>
            </w:r>
            <w:r w:rsidRPr="1989460F" w:rsidR="46F77B25">
              <w:rPr>
                <w:rFonts w:ascii="Helvetica" w:hAnsi="Helvetica" w:eastAsia="Helvetica" w:cs="Helvetica"/>
                <w:b w:val="1"/>
                <w:bCs w:val="1"/>
                <w:color w:val="auto"/>
                <w:sz w:val="24"/>
                <w:szCs w:val="24"/>
                <w:u w:val="single"/>
              </w:rPr>
              <w:t>ICE</w:t>
            </w:r>
          </w:p>
          <w:p w:rsidR="09C76C7D" w:rsidP="5C5DEAFD" w:rsidRDefault="09C76C7D" w14:paraId="4DEA5D94" w14:textId="7DB84A3C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C5DEAFD" w:rsidR="73B96A9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Trust </w:t>
            </w:r>
            <w:r w:rsidRPr="5C5DEAFD" w:rsidR="73B96A9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Guid</w:t>
            </w:r>
            <w:r w:rsidRPr="5C5DEAFD" w:rsidR="44D577F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</w:t>
            </w:r>
            <w:r w:rsidRPr="5C5DEAFD" w:rsidR="73B96A9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lines</w:t>
            </w:r>
            <w:r w:rsidRPr="5C5DEAFD" w:rsidR="73B96A9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are currently being updated to reflect the following:</w:t>
            </w:r>
          </w:p>
          <w:p w:rsidR="09C76C7D" w:rsidP="5C5DEAFD" w:rsidRDefault="09C76C7D" w14:paraId="501C7ED8" w14:textId="0F00EA56">
            <w:pPr>
              <w:pStyle w:val="ListParagraph"/>
              <w:numPr>
                <w:ilvl w:val="0"/>
                <w:numId w:val="10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C5DEAFD" w:rsidR="09C76C7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Clinicians should </w:t>
            </w:r>
            <w:r w:rsidRPr="5C5DEAFD" w:rsidR="4B6252D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NOT </w:t>
            </w:r>
            <w:r w:rsidRPr="5C5DEAFD" w:rsidR="09C76C7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initiate</w:t>
            </w:r>
            <w:r w:rsidRPr="5C5DEAFD" w:rsidR="09C76C7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new patients o</w:t>
            </w:r>
            <w:r w:rsidRPr="5C5DEAFD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n </w:t>
            </w:r>
            <w:r w:rsidRPr="5C5DEAFD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Pabrinex</w:t>
            </w:r>
            <w:r w:rsidRPr="5C5DEAFD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IV</w:t>
            </w:r>
          </w:p>
          <w:p w:rsidR="05BBC063" w:rsidP="5C5DEAFD" w:rsidRDefault="05BBC063" w14:paraId="4665CE5C" w14:textId="54DAA549">
            <w:pPr>
              <w:pStyle w:val="ListParagraph"/>
              <w:numPr>
                <w:ilvl w:val="0"/>
                <w:numId w:val="104"/>
              </w:numPr>
              <w:suppressLineNumbers w:val="0"/>
              <w:shd w:val="clear" w:color="auto" w:fill="FFFFFF" w:themeFill="background1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C5DEAFD" w:rsidR="05BBC06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single"/>
                <w:lang w:val="en-GB"/>
              </w:rPr>
              <w:t xml:space="preserve">Thiamine </w:t>
            </w:r>
            <w:r w:rsidRPr="5C5DEAFD" w:rsidR="05BBC06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single"/>
                <w:lang w:val="en-GB"/>
              </w:rPr>
              <w:t>IV</w:t>
            </w:r>
            <w:r w:rsidRPr="5C5DEAFD" w:rsidR="05BBC06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will be used in place of </w:t>
            </w:r>
            <w:r w:rsidRPr="5C5DEAFD" w:rsidR="05BBC06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Pabrinex</w:t>
            </w:r>
            <w:r w:rsidRPr="5C5DEAFD" w:rsidR="05BBC06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. Please see specific </w:t>
            </w:r>
            <w:r w:rsidRPr="5C5DEAFD" w:rsidR="05BBC06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indications</w:t>
            </w:r>
            <w:r w:rsidRPr="5C5DEAFD" w:rsidR="05BBC063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below for further advice and dosing.</w:t>
            </w:r>
          </w:p>
          <w:p w:rsidR="140BBBDE" w:rsidP="5C5DEAFD" w:rsidRDefault="140BBBDE" w14:paraId="70ADFADB" w14:textId="07D8FA63">
            <w:pPr>
              <w:pStyle w:val="ListParagraph"/>
              <w:numPr>
                <w:ilvl w:val="0"/>
                <w:numId w:val="10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C5DEAFD" w:rsidR="140BBBD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Each 2ml vial </w:t>
            </w:r>
            <w:r w:rsidRPr="5C5DEAFD" w:rsidR="61AF85D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contains</w:t>
            </w:r>
            <w:r w:rsidRPr="5C5DEAFD" w:rsidR="4779C7F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200mg </w:t>
            </w:r>
            <w:r w:rsidRPr="5C5DEAFD" w:rsidR="140BBBD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of thiamine</w:t>
            </w:r>
            <w:r w:rsidRPr="5C5DEAFD" w:rsidR="71CD4E7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HCL</w:t>
            </w:r>
            <w:r w:rsidRPr="5C5DEAFD" w:rsidR="5EBB88A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5C5DEAFD" w:rsidR="2FEEA64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(100mg per 1ml)</w:t>
            </w:r>
          </w:p>
          <w:p w:rsidR="04AA20CA" w:rsidP="5C5DEAFD" w:rsidRDefault="04AA20CA" w14:paraId="2357D391" w14:textId="25BA4C33">
            <w:pPr>
              <w:pStyle w:val="ListParagraph"/>
              <w:numPr>
                <w:ilvl w:val="0"/>
                <w:numId w:val="10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C5DEAFD" w:rsidR="04AA20C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E</w:t>
            </w:r>
            <w:r w:rsidRPr="5C5DEAFD" w:rsidR="2FEEA64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ach original pack </w:t>
            </w:r>
            <w:r w:rsidRPr="5C5DEAFD" w:rsidR="2FEEA64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contains</w:t>
            </w:r>
            <w:r w:rsidRPr="5C5DEAFD" w:rsidR="2FEEA64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25 x 2 ml vials</w:t>
            </w:r>
          </w:p>
          <w:p w:rsidR="5C34CA99" w:rsidP="5C5DEAFD" w:rsidRDefault="5C34CA99" w14:paraId="0C92285F" w14:textId="5E11D2FE">
            <w:pPr>
              <w:pStyle w:val="ListParagraph"/>
              <w:numPr>
                <w:ilvl w:val="0"/>
                <w:numId w:val="10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C5DEAFD" w:rsidR="5C34CA9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Sample image of an original pack:</w:t>
            </w:r>
          </w:p>
          <w:p w:rsidR="25C05A23" w:rsidP="5C5DEAFD" w:rsidRDefault="25C05A23" w14:paraId="6E19AA38" w14:textId="57BDCB19">
            <w:pPr>
              <w:pStyle w:val="Normal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</w:pPr>
            <w:r w:rsidR="25C05A23">
              <w:drawing>
                <wp:inline xmlns:wp14="http://schemas.microsoft.com/office/word/2010/wordprocessingDrawing" wp14:editId="07EC017F" wp14:anchorId="1F706789">
                  <wp:extent cx="6442062" cy="1835131"/>
                  <wp:effectExtent l="0" t="0" r="0" b="0"/>
                  <wp:docPr id="9834906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21f360f4af34d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8778" t="40093" r="47569" b="377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062" cy="183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C5DEAFD" w:rsidP="5C5DEAFD" w:rsidRDefault="5C5DEAFD" w14:paraId="2479564C" w14:textId="29E3298D">
            <w:pPr>
              <w:pStyle w:val="Normal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</w:pPr>
          </w:p>
          <w:p w:rsidR="5C5DEAFD" w:rsidP="5C5DEAFD" w:rsidRDefault="5C5DEAFD" w14:paraId="555A6611" w14:textId="440985E4">
            <w:pPr>
              <w:pStyle w:val="Normal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</w:pPr>
          </w:p>
          <w:p w:rsidR="2F253C4C" w:rsidP="1D9F520C" w:rsidRDefault="2F253C4C" w14:paraId="3030E34D" w14:textId="5F08E200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</w:pPr>
          </w:p>
          <w:p w:rsidR="2F253C4C" w:rsidP="2F32FD9F" w:rsidRDefault="2F253C4C" w14:paraId="13D130F3" w14:textId="2C4AF8E0">
            <w:pPr>
              <w:suppressLineNumbers w:val="0"/>
              <w:spacing w:before="0" w:beforeAutospacing="off" w:after="120" w:afterAutospacing="off" w:line="259" w:lineRule="auto"/>
              <w:ind/>
              <w:rPr>
                <w:rFonts w:ascii="Helvetica" w:hAnsi="Helvetica" w:eastAsia="Helvetica" w:cs="Helvetica"/>
                <w:b w:val="1"/>
                <w:bCs w:val="1"/>
              </w:rPr>
            </w:pPr>
            <w:r w:rsidRPr="2F32FD9F" w:rsidR="47FC33A3">
              <w:rPr>
                <w:rFonts w:ascii="Helvetica" w:hAnsi="Helvetica" w:eastAsia="Helvetica" w:cs="Helvetica"/>
                <w:b w:val="1"/>
                <w:bCs w:val="1"/>
              </w:rPr>
              <w:t>THIAMINE IV DOSING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918"/>
              <w:gridCol w:w="2400"/>
              <w:gridCol w:w="1725"/>
              <w:gridCol w:w="3237"/>
            </w:tblGrid>
            <w:tr w:rsidR="2F32FD9F" w:rsidTr="2F32FD9F" w14:paraId="49AA58F4">
              <w:trPr>
                <w:trHeight w:val="300"/>
              </w:trPr>
              <w:tc>
                <w:tcPr>
                  <w:tcW w:w="2918" w:type="dxa"/>
                  <w:tcMar/>
                </w:tcPr>
                <w:p w:rsidR="2F32FD9F" w:rsidP="2F32FD9F" w:rsidRDefault="2F32FD9F" w14:paraId="2DD81ED5" w14:textId="6232463A">
                  <w:pPr>
                    <w:pStyle w:val="Normal"/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  <w:t>Indication</w:t>
                  </w:r>
                </w:p>
              </w:tc>
              <w:tc>
                <w:tcPr>
                  <w:tcW w:w="2400" w:type="dxa"/>
                  <w:tcMar/>
                </w:tcPr>
                <w:p w:rsidR="2F32FD9F" w:rsidP="2F32FD9F" w:rsidRDefault="2F32FD9F" w14:paraId="5FE98C95" w14:textId="697429EB">
                  <w:pPr>
                    <w:pStyle w:val="Normal"/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  <w:t>Dose</w:t>
                  </w:r>
                </w:p>
              </w:tc>
              <w:tc>
                <w:tcPr>
                  <w:tcW w:w="1725" w:type="dxa"/>
                  <w:tcMar/>
                </w:tcPr>
                <w:p w:rsidR="2F32FD9F" w:rsidP="2F32FD9F" w:rsidRDefault="2F32FD9F" w14:paraId="7FA42476" w14:textId="09004D53">
                  <w:pPr>
                    <w:pStyle w:val="Normal"/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  <w:t>Frequency</w:t>
                  </w:r>
                </w:p>
              </w:tc>
              <w:tc>
                <w:tcPr>
                  <w:tcW w:w="3237" w:type="dxa"/>
                  <w:tcMar/>
                </w:tcPr>
                <w:p w:rsidR="2F32FD9F" w:rsidP="2F32FD9F" w:rsidRDefault="2F32FD9F" w14:paraId="59281EA4" w14:textId="59002798">
                  <w:pPr>
                    <w:pStyle w:val="Normal"/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1"/>
                      <w:bCs w:val="1"/>
                      <w:color w:val="auto"/>
                    </w:rPr>
                    <w:t>Duration</w:t>
                  </w:r>
                </w:p>
              </w:tc>
            </w:tr>
            <w:tr w:rsidR="2F32FD9F" w:rsidTr="2F32FD9F" w14:paraId="2A128DA2">
              <w:trPr>
                <w:trHeight w:val="300"/>
              </w:trPr>
              <w:tc>
                <w:tcPr>
                  <w:tcW w:w="2918" w:type="dxa"/>
                  <w:tcMar/>
                </w:tcPr>
                <w:p w:rsidR="2F32FD9F" w:rsidP="2F32FD9F" w:rsidRDefault="2F32FD9F" w14:paraId="62A8F1E8" w14:textId="42B6A90A">
                  <w:pPr>
                    <w:pStyle w:val="Normal"/>
                    <w:bidi w:val="0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Prophylaxis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of Wernicke’s encephalopathy</w:t>
                  </w:r>
                </w:p>
              </w:tc>
              <w:tc>
                <w:tcPr>
                  <w:tcW w:w="2400" w:type="dxa"/>
                  <w:tcMar/>
                </w:tcPr>
                <w:p w:rsidR="2F32FD9F" w:rsidP="2F32FD9F" w:rsidRDefault="2F32FD9F" w14:paraId="4CD0A9A5" w14:textId="7C209871">
                  <w:pPr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200mg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to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300mg</w:t>
                  </w:r>
                  <w:r w:rsidRPr="2F32FD9F" w:rsidR="7F2C804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IV</w:t>
                  </w:r>
                </w:p>
              </w:tc>
              <w:tc>
                <w:tcPr>
                  <w:tcW w:w="1725" w:type="dxa"/>
                  <w:tcMar/>
                </w:tcPr>
                <w:p w:rsidR="2F32FD9F" w:rsidP="2F32FD9F" w:rsidRDefault="2F32FD9F" w14:paraId="365FDCEA" w14:textId="24DF10DA">
                  <w:pPr>
                    <w:pStyle w:val="Normal"/>
                    <w:bidi w:val="0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O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3237" w:type="dxa"/>
                  <w:tcMar/>
                </w:tcPr>
                <w:p w:rsidR="2F32FD9F" w:rsidP="2F32FD9F" w:rsidRDefault="2F32FD9F" w14:paraId="03B7F74F" w14:textId="377F2206">
                  <w:pPr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3 to 5 days with daily review and monitoring for emergent signs of Wernicke’s encephalopathy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2F32FD9F" w:rsidTr="2F32FD9F" w14:paraId="4EC39594">
              <w:trPr>
                <w:trHeight w:val="300"/>
              </w:trPr>
              <w:tc>
                <w:tcPr>
                  <w:tcW w:w="2918" w:type="dxa"/>
                  <w:tcMar/>
                </w:tcPr>
                <w:p w:rsidR="2F32FD9F" w:rsidP="2F32FD9F" w:rsidRDefault="2F32FD9F" w14:paraId="51389665" w14:textId="0A6EE6C5">
                  <w:pPr>
                    <w:pStyle w:val="Normal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</w:rPr>
                    <w:t>Treatment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</w:rPr>
                    <w:t xml:space="preserve"> </w:t>
                  </w:r>
                  <w:r w:rsidRPr="2F32FD9F" w:rsidR="2F32FD9F">
                    <w:rPr>
                      <w:rFonts w:ascii="Helvetica" w:hAnsi="Helvetica" w:eastAsia="Helvetica" w:cs="Helvetica"/>
                    </w:rPr>
                    <w:t xml:space="preserve">of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Wernicke’s encephalopathy</w:t>
                  </w:r>
                </w:p>
              </w:tc>
              <w:tc>
                <w:tcPr>
                  <w:tcW w:w="2400" w:type="dxa"/>
                  <w:tcMar/>
                </w:tcPr>
                <w:p w:rsidR="2F32FD9F" w:rsidP="2F32FD9F" w:rsidRDefault="2F32FD9F" w14:paraId="7E87CFE4" w14:textId="61ECC7F9">
                  <w:pPr>
                    <w:pStyle w:val="Normal"/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300mg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to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500mg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Pr="2F32FD9F" w:rsidR="42E574FD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725" w:type="dxa"/>
                  <w:tcMar/>
                </w:tcPr>
                <w:p w:rsidR="2F32FD9F" w:rsidP="2F32FD9F" w:rsidRDefault="2F32FD9F" w14:paraId="17DD007D" w14:textId="71283BB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Helvetica" w:hAnsi="Helvetica" w:eastAsia="Helvetica" w:cs="Helvetica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</w:rPr>
                    <w:t>TDS</w:t>
                  </w:r>
                </w:p>
              </w:tc>
              <w:tc>
                <w:tcPr>
                  <w:tcW w:w="3237" w:type="dxa"/>
                  <w:tcMar/>
                </w:tcPr>
                <w:p w:rsidR="2F32FD9F" w:rsidP="2F32FD9F" w:rsidRDefault="2F32FD9F" w14:paraId="2805366C" w14:textId="05D8CD80">
                  <w:pPr>
                    <w:pStyle w:val="Normal"/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3 to 5 days with daily review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.</w:t>
                  </w:r>
                </w:p>
                <w:p w:rsidR="2F32FD9F" w:rsidP="2F32FD9F" w:rsidRDefault="2F32FD9F" w14:paraId="678BA2BA" w14:textId="6C7E2A37">
                  <w:pPr>
                    <w:pStyle w:val="Normal"/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</w:pPr>
                </w:p>
                <w:p w:rsidR="2F32FD9F" w:rsidP="2F32FD9F" w:rsidRDefault="2F32FD9F" w14:paraId="527A45D3" w14:textId="4237DCEB">
                  <w:pPr>
                    <w:pStyle w:val="Normal"/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If still symptomatic after 5 days of treatment, then give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:</w:t>
                  </w:r>
                </w:p>
                <w:p w:rsidR="2F32FD9F" w:rsidP="2F32FD9F" w:rsidRDefault="2F32FD9F" w14:paraId="06B92192" w14:textId="5C682E7E">
                  <w:pPr>
                    <w:pStyle w:val="Normal"/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300mg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to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500mg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OD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for a further 3 to 5 days for as long as clinical improvement continues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2F32FD9F" w:rsidTr="2F32FD9F" w14:paraId="48649100">
              <w:trPr>
                <w:trHeight w:val="300"/>
              </w:trPr>
              <w:tc>
                <w:tcPr>
                  <w:tcW w:w="2918" w:type="dxa"/>
                  <w:tcMar/>
                </w:tcPr>
                <w:p w:rsidR="2F32FD9F" w:rsidP="2F32FD9F" w:rsidRDefault="2F32FD9F" w14:paraId="3145134A" w14:textId="2E9852E8">
                  <w:pPr>
                    <w:pStyle w:val="Normal"/>
                    <w:rPr>
                      <w:rFonts w:ascii="Helvetica" w:hAnsi="Helvetica" w:eastAsia="Helvetica" w:cs="Helvetica"/>
                      <w:b w:val="0"/>
                      <w:bCs w:val="0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</w:rPr>
                    <w:t>Prophylax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</w:rPr>
                    <w:t>is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</w:rPr>
                    <w:t xml:space="preserve"> of Refee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</w:rPr>
                    <w:t>ding Syndrome</w:t>
                  </w:r>
                </w:p>
              </w:tc>
              <w:tc>
                <w:tcPr>
                  <w:tcW w:w="2400" w:type="dxa"/>
                  <w:tcMar/>
                </w:tcPr>
                <w:p w:rsidR="2F32FD9F" w:rsidP="2F32FD9F" w:rsidRDefault="2F32FD9F" w14:paraId="57C5A742" w14:textId="44E07C53">
                  <w:pPr>
                    <w:pStyle w:val="Normal"/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200mg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to 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300mg</w:t>
                  </w: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Pr="2F32FD9F" w:rsidR="2200AB11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IV</w:t>
                  </w:r>
                </w:p>
                <w:p w:rsidR="2F32FD9F" w:rsidP="2F32FD9F" w:rsidRDefault="2F32FD9F" w14:paraId="420E8B4D" w14:textId="7B160134">
                  <w:pPr>
                    <w:pStyle w:val="Normal"/>
                    <w:spacing w:line="279" w:lineRule="auto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25" w:type="dxa"/>
                  <w:tcMar/>
                </w:tcPr>
                <w:p w:rsidR="2F32FD9F" w:rsidP="2F32FD9F" w:rsidRDefault="2F32FD9F" w14:paraId="5D56312C" w14:textId="16E60E76">
                  <w:pPr>
                    <w:pStyle w:val="Normal"/>
                    <w:shd w:val="clear" w:color="auto" w:fill="FFFFFF" w:themeFill="background1"/>
                    <w:bidi w:val="0"/>
                    <w:spacing w:before="0" w:beforeAutospacing="off" w:after="0" w:afterAutospacing="off" w:line="279" w:lineRule="auto"/>
                    <w:ind w:left="0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OD prior to starting parenteral nutrition</w:t>
                  </w:r>
                </w:p>
                <w:p w:rsidR="2F32FD9F" w:rsidP="2F32FD9F" w:rsidRDefault="2F32FD9F" w14:paraId="4E9D8945" w14:textId="1FEFCD66">
                  <w:pPr>
                    <w:pStyle w:val="Normal"/>
                    <w:spacing w:line="259" w:lineRule="auto"/>
                    <w:jc w:val="left"/>
                    <w:rPr>
                      <w:rFonts w:ascii="Helvetica" w:hAnsi="Helvetica" w:eastAsia="Helvetica" w:cs="Helvetica"/>
                    </w:rPr>
                  </w:pPr>
                </w:p>
              </w:tc>
              <w:tc>
                <w:tcPr>
                  <w:tcW w:w="3237" w:type="dxa"/>
                  <w:tcMar/>
                </w:tcPr>
                <w:p w:rsidR="2F32FD9F" w:rsidP="2F32FD9F" w:rsidRDefault="2F32FD9F" w14:paraId="6582049B" w14:textId="2954B7F1">
                  <w:pPr>
                    <w:pStyle w:val="Normal"/>
                    <w:bidi w:val="0"/>
                    <w:spacing w:line="279" w:lineRule="auto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Continue for at least 2 more days (total course of 3 days).</w:t>
                  </w:r>
                </w:p>
                <w:p w:rsidR="2F32FD9F" w:rsidP="2F32FD9F" w:rsidRDefault="2F32FD9F" w14:paraId="3FB60C9D" w14:textId="0BDE4E2B">
                  <w:pPr>
                    <w:pStyle w:val="Normal"/>
                    <w:bidi w:val="0"/>
                    <w:spacing w:line="279" w:lineRule="auto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</w:pPr>
                </w:p>
                <w:p w:rsidR="2F32FD9F" w:rsidP="2F32FD9F" w:rsidRDefault="2F32FD9F" w14:paraId="0155E3F9" w14:textId="56BCAAEE">
                  <w:pPr>
                    <w:pStyle w:val="Normal"/>
                    <w:bidi w:val="0"/>
                    <w:spacing w:line="279" w:lineRule="auto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GB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In higher-risk patients:</w:t>
                  </w:r>
                </w:p>
                <w:p w:rsidR="2F32FD9F" w:rsidP="2F32FD9F" w:rsidRDefault="2F32FD9F" w14:paraId="384B0C8E" w14:textId="66C03FD9">
                  <w:pPr>
                    <w:pStyle w:val="Normal"/>
                    <w:bidi w:val="0"/>
                    <w:spacing w:line="279" w:lineRule="auto"/>
                    <w:jc w:val="left"/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</w:pPr>
                  <w:r w:rsidRPr="2F32FD9F" w:rsidR="2F32FD9F">
                    <w:rPr>
                      <w:rFonts w:ascii="Helvetica" w:hAnsi="Helvetica" w:eastAsia="Helvetica" w:cs="Helvetic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333333"/>
                      <w:sz w:val="24"/>
                      <w:szCs w:val="24"/>
                      <w:lang w:val="en-US"/>
                    </w:rPr>
                    <w:t>Continue for 4 more days (total course of 5 days).</w:t>
                  </w:r>
                </w:p>
              </w:tc>
            </w:tr>
          </w:tbl>
          <w:p w:rsidR="2F253C4C" w:rsidP="2F32FD9F" w:rsidRDefault="2F253C4C" w14:paraId="63884014" w14:textId="7BB0C953">
            <w:pPr>
              <w:suppressLineNumbers w:val="0"/>
              <w:spacing w:before="0" w:beforeAutospacing="off" w:after="240" w:afterAutospacing="off" w:line="259" w:lineRule="auto"/>
              <w:ind/>
              <w:rPr>
                <w:rFonts w:ascii="Helvetica" w:hAnsi="Helvetica" w:eastAsia="Helvetica" w:cs="Helvetica"/>
              </w:rPr>
            </w:pPr>
          </w:p>
          <w:p w:rsidR="2F253C4C" w:rsidP="2F32FD9F" w:rsidRDefault="2F253C4C" w14:paraId="6A6F88A3" w14:textId="13EC7CD1">
            <w:pPr>
              <w:suppressLineNumbers w:val="0"/>
              <w:spacing w:before="0" w:beforeAutospacing="off" w:after="240" w:afterAutospacing="off" w:line="259" w:lineRule="auto"/>
              <w:ind/>
              <w:rPr>
                <w:rFonts w:ascii="Helvetica" w:hAnsi="Helvetica" w:eastAsia="Helvetica" w:cs="Helvetica"/>
              </w:rPr>
            </w:pPr>
          </w:p>
          <w:p w:rsidR="2F253C4C" w:rsidP="2F32FD9F" w:rsidRDefault="2F253C4C" w14:paraId="290869E1" w14:textId="77D81CE8">
            <w:pPr>
              <w:suppressLineNumbers w:val="0"/>
              <w:spacing w:before="0" w:beforeAutospacing="off" w:after="240" w:afterAutospacing="off" w:line="259" w:lineRule="auto"/>
              <w:ind/>
              <w:rPr>
                <w:rFonts w:ascii="Helvetica" w:hAnsi="Helvetica" w:eastAsia="Helvetica" w:cs="Helvetica"/>
              </w:rPr>
            </w:pPr>
          </w:p>
          <w:p w:rsidR="2F253C4C" w:rsidP="2F32FD9F" w:rsidRDefault="2F253C4C" w14:paraId="5310B816" w14:textId="2AFB3C91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single"/>
                <w:lang w:val="en-GB"/>
              </w:rPr>
            </w:pPr>
            <w:r w:rsidRPr="2F32FD9F" w:rsidR="0D53E956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single"/>
                <w:lang w:val="en-GB"/>
              </w:rPr>
              <w:t xml:space="preserve">FURTHER </w:t>
            </w:r>
            <w:r w:rsidRPr="2F32FD9F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single"/>
                <w:lang w:val="en-GB"/>
              </w:rPr>
              <w:t>CLINICAL INFORMATION</w:t>
            </w:r>
          </w:p>
          <w:p w:rsidR="2F253C4C" w:rsidP="1D9F520C" w:rsidRDefault="2F253C4C" w14:paraId="5C81012F" w14:textId="5925E0D8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032"/>
                <w:sz w:val="32"/>
                <w:szCs w:val="32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97032"/>
                <w:sz w:val="32"/>
                <w:szCs w:val="32"/>
                <w:lang w:val="en-US"/>
              </w:rPr>
              <w:t>THIAMINE IN ALCOHOL DEPENDENCE</w:t>
            </w:r>
          </w:p>
          <w:p w:rsidR="2F253C4C" w:rsidP="1D9F520C" w:rsidRDefault="2F253C4C" w14:paraId="76BC484D" w14:textId="43F6353D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Intravenous thiamine is an unlicensed alternative that can be used in people at high risk of Wernicke’s encephalopathy.</w:t>
            </w:r>
          </w:p>
          <w:p w:rsidR="2F253C4C" w:rsidP="1D9F520C" w:rsidRDefault="2F253C4C" w14:paraId="28D150DE" w14:textId="1878E923">
            <w:pPr>
              <w:pStyle w:val="Heading2"/>
              <w:keepNext w:val="1"/>
              <w:keepLines w:val="1"/>
              <w:pBdr>
                <w:top w:val="single" w:color="E2E3E3" w:sz="6" w:space="0"/>
              </w:pBdr>
              <w:shd w:val="clear" w:color="auto" w:fill="FFFFFF" w:themeFill="background1"/>
              <w:bidi w:val="0"/>
              <w:spacing w:before="360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US"/>
              </w:rPr>
              <w:t>Prophylaxis for people at risk</w:t>
            </w:r>
          </w:p>
          <w:p w:rsidR="2F253C4C" w:rsidP="1D9F520C" w:rsidRDefault="2F253C4C" w14:paraId="0CDC3E72" w14:textId="43CB9F82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Defining people at risk</w:t>
            </w:r>
          </w:p>
          <w:p w:rsidR="2F253C4C" w:rsidP="1D9F520C" w:rsidRDefault="2F253C4C" w14:paraId="454AFF2C" w14:textId="13A3EE2C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NICE CG100 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recommends offering prophylactic parenteral thiamine followed by oral thiamine to harmful or dependent drinkers if they:</w:t>
            </w:r>
          </w:p>
          <w:p w:rsidR="2F253C4C" w:rsidP="1D9F520C" w:rsidRDefault="2F253C4C" w14:paraId="29ED3DE9" w14:textId="01268F79">
            <w:pPr>
              <w:pStyle w:val="ListParagraph"/>
              <w:numPr>
                <w:ilvl w:val="0"/>
                <w:numId w:val="76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are malnourished or at risk of malnourishment or</w:t>
            </w:r>
          </w:p>
          <w:p w:rsidR="2F253C4C" w:rsidP="1D9F520C" w:rsidRDefault="2F253C4C" w14:paraId="3A42627A" w14:textId="2442AFA3">
            <w:pPr>
              <w:pStyle w:val="ListParagraph"/>
              <w:numPr>
                <w:ilvl w:val="0"/>
                <w:numId w:val="76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have decompensated liver disease</w:t>
            </w:r>
          </w:p>
          <w:p w:rsidR="1D9F520C" w:rsidP="1D9F520C" w:rsidRDefault="1D9F520C" w14:paraId="1626D768" w14:textId="116B4864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ind w:lef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</w:p>
          <w:p w:rsidR="2F253C4C" w:rsidP="1D9F520C" w:rsidRDefault="2F253C4C" w14:paraId="60DF2584" w14:textId="5F6DCDDE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and in addition:</w:t>
            </w:r>
          </w:p>
          <w:p w:rsidR="2F253C4C" w:rsidP="1D9F520C" w:rsidRDefault="2F253C4C" w14:paraId="1B028AB4" w14:textId="6262D564">
            <w:pPr>
              <w:pStyle w:val="ListParagraph"/>
              <w:numPr>
                <w:ilvl w:val="0"/>
                <w:numId w:val="78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they attend an emergency department or</w:t>
            </w:r>
          </w:p>
          <w:p w:rsidR="2F253C4C" w:rsidP="1D9F520C" w:rsidRDefault="2F253C4C" w14:paraId="6606AD7D" w14:textId="25CDB419">
            <w:pPr>
              <w:pStyle w:val="ListParagraph"/>
              <w:numPr>
                <w:ilvl w:val="0"/>
                <w:numId w:val="78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are admitted to hospital with an acute injury or illness</w:t>
            </w:r>
          </w:p>
          <w:p w:rsidR="1D9F520C" w:rsidP="1D9F520C" w:rsidRDefault="1D9F520C" w14:paraId="63C53EA7" w14:textId="1F31EE55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ind w:lef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</w:p>
          <w:p w:rsidR="2F253C4C" w:rsidP="1D9F520C" w:rsidRDefault="2F253C4C" w14:paraId="6B4529B5" w14:textId="3B19FC11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People at high risk of Wernicke’s encephalopathy can have a range of conditions, including:</w:t>
            </w:r>
          </w:p>
          <w:p w:rsidR="2F253C4C" w:rsidP="1D9F520C" w:rsidRDefault="2F253C4C" w14:paraId="76B47314" w14:textId="07C3D4E7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significant weight loss</w:t>
            </w:r>
          </w:p>
          <w:p w:rsidR="2F253C4C" w:rsidP="1D9F520C" w:rsidRDefault="2F253C4C" w14:paraId="002DFCD0" w14:textId="2D5373BC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poor diet</w:t>
            </w:r>
          </w:p>
          <w:p w:rsidR="2F253C4C" w:rsidP="1D9F520C" w:rsidRDefault="2F253C4C" w14:paraId="5674E7BA" w14:textId="358D865F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low BMI (&lt;18)</w:t>
            </w:r>
          </w:p>
          <w:p w:rsidR="2F253C4C" w:rsidP="1D9F520C" w:rsidRDefault="2F253C4C" w14:paraId="6F196537" w14:textId="71A3A2B9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other signs of malnutrition</w:t>
            </w:r>
          </w:p>
          <w:p w:rsidR="2F253C4C" w:rsidP="1D9F520C" w:rsidRDefault="2F253C4C" w14:paraId="59318182" w14:textId="141992F5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memory disturbance</w:t>
            </w:r>
          </w:p>
          <w:p w:rsidR="2F253C4C" w:rsidP="1D9F520C" w:rsidRDefault="2F253C4C" w14:paraId="474435EE" w14:textId="217025F9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peripheral neuropathy</w:t>
            </w:r>
          </w:p>
          <w:p w:rsidR="2F253C4C" w:rsidP="1D9F520C" w:rsidRDefault="2F253C4C" w14:paraId="09AE9352" w14:textId="73679A3A">
            <w:pPr>
              <w:pStyle w:val="ListParagraph"/>
              <w:numPr>
                <w:ilvl w:val="0"/>
                <w:numId w:val="8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previous history of Wernicke’s encephalopathy</w:t>
            </w:r>
          </w:p>
          <w:p w:rsidR="1D9F520C" w:rsidP="1D9F520C" w:rsidRDefault="1D9F520C" w14:paraId="2420A088" w14:textId="77AF704A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ind w:lef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</w:p>
          <w:p w:rsidR="2F253C4C" w:rsidP="1D9F520C" w:rsidRDefault="2F253C4C" w14:paraId="147E1115" w14:textId="46A23961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Consider offering prophylactic parenteral thiamine to people at high risk following the dosing below.</w:t>
            </w:r>
          </w:p>
          <w:p w:rsidR="2F253C4C" w:rsidP="1D9F520C" w:rsidRDefault="2F253C4C" w14:paraId="4D026636" w14:textId="78650B79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DOSING</w:t>
            </w:r>
          </w:p>
          <w:p w:rsidR="2F253C4C" w:rsidP="5C5DEAFD" w:rsidRDefault="2F253C4C" w14:paraId="3B7B0C5A" w14:textId="4BE59B2B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ind w:lef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5C5DEAFD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Give intravenous thiamine 200 to </w:t>
            </w:r>
            <w:r w:rsidRPr="5C5DEAFD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300mg</w:t>
            </w:r>
            <w:r w:rsidRPr="5C5DEAFD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once daily for 3 to 5 days with daily review and monitoring for emergent signs of Wernicke’s encephalopathy</w:t>
            </w:r>
            <w:r w:rsidRPr="5C5DEAFD" w:rsidR="2734A0B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.</w:t>
            </w:r>
          </w:p>
          <w:p w:rsidR="2F253C4C" w:rsidP="1D9F520C" w:rsidRDefault="2F253C4C" w14:paraId="59BCA7EA" w14:textId="29D9AD39">
            <w:pPr>
              <w:pStyle w:val="Heading2"/>
              <w:keepNext w:val="1"/>
              <w:keepLines w:val="1"/>
              <w:pBdr>
                <w:top w:val="single" w:color="E2E3E3" w:sz="6" w:space="0"/>
              </w:pBdr>
              <w:shd w:val="clear" w:color="auto" w:fill="FFFFFF" w:themeFill="background1"/>
              <w:bidi w:val="0"/>
              <w:spacing w:before="360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US"/>
              </w:rPr>
              <w:t>Treating Wernicke’s encephalopathy</w:t>
            </w:r>
          </w:p>
          <w:p w:rsidR="2F253C4C" w:rsidP="1D9F520C" w:rsidRDefault="2F253C4C" w14:paraId="73B8901F" w14:textId="4260C2FB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Identifying symptoms</w:t>
            </w:r>
          </w:p>
          <w:p w:rsidR="2F253C4C" w:rsidP="1D9F520C" w:rsidRDefault="2F253C4C" w14:paraId="6B62F9E1" w14:textId="1CEBE3EE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People with </w:t>
            </w: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any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of the additional symptoms below require treatment for Wernicke’s encephalopathy.</w:t>
            </w:r>
          </w:p>
          <w:p w:rsidR="2F253C4C" w:rsidP="1D9F520C" w:rsidRDefault="2F253C4C" w14:paraId="4F30EBAC" w14:textId="5B2CE072">
            <w:pPr>
              <w:pStyle w:val="ListParagraph"/>
              <w:numPr>
                <w:ilvl w:val="0"/>
                <w:numId w:val="8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impaired eye movements (ophthalmoplegia)</w:t>
            </w:r>
          </w:p>
          <w:p w:rsidR="2F253C4C" w:rsidP="1D9F520C" w:rsidRDefault="2F253C4C" w14:paraId="3D015AC9" w14:textId="43E2B318">
            <w:pPr>
              <w:pStyle w:val="ListParagraph"/>
              <w:numPr>
                <w:ilvl w:val="0"/>
                <w:numId w:val="8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unsteady walking (ataxia)</w:t>
            </w:r>
          </w:p>
          <w:p w:rsidR="2F253C4C" w:rsidP="5C5DEAFD" w:rsidRDefault="2F253C4C" w14:paraId="58EB6FAC" w14:textId="44B950E4">
            <w:pPr>
              <w:pStyle w:val="ListParagraph"/>
              <w:numPr>
                <w:ilvl w:val="0"/>
                <w:numId w:val="8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5C5DEAFD" w:rsidR="21F097B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C</w:t>
            </w:r>
            <w:r w:rsidRPr="5C5DEAFD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onfusion</w:t>
            </w:r>
            <w:r w:rsidRPr="5C5DEAFD" w:rsidR="21F097B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.</w:t>
            </w:r>
          </w:p>
          <w:p w:rsidR="2F253C4C" w:rsidP="1D9F520C" w:rsidRDefault="2F253C4C" w14:paraId="24426509" w14:textId="02507E97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ind w:left="0"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DOSING</w:t>
            </w:r>
          </w:p>
          <w:p w:rsidR="2F253C4C" w:rsidP="1D9F520C" w:rsidRDefault="2F253C4C" w14:paraId="3CA5EBAD" w14:textId="5C2091A7">
            <w:pPr>
              <w:pStyle w:val="ListParagraph"/>
              <w:numPr>
                <w:ilvl w:val="0"/>
                <w:numId w:val="9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Give intravenous thiamine 300 to 500mg three times a day for 3 to 5 days with daily review</w:t>
            </w:r>
          </w:p>
          <w:p w:rsidR="2F253C4C" w:rsidP="1D9F520C" w:rsidRDefault="2F253C4C" w14:paraId="1D5FE72A" w14:textId="3E79ADF9">
            <w:pPr>
              <w:pStyle w:val="ListParagraph"/>
              <w:numPr>
                <w:ilvl w:val="0"/>
                <w:numId w:val="9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If the individual is still symptomatic after 5 days of treatment, then give intravenous thiamine 300mg to 500mg once daily for a further 3 to 5 days for as long as clinical improvement continues</w:t>
            </w:r>
          </w:p>
          <w:p w:rsidR="2F253C4C" w:rsidP="1D9F520C" w:rsidRDefault="2F253C4C" w14:paraId="7F1C88F8" w14:textId="746986D2">
            <w:pPr>
              <w:pStyle w:val="ListParagraph"/>
              <w:numPr>
                <w:ilvl w:val="0"/>
                <w:numId w:val="90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Other causes for their confusion should be explored.</w:t>
            </w:r>
          </w:p>
          <w:p w:rsidR="1D9F520C" w:rsidP="2F32FD9F" w:rsidRDefault="1D9F520C" w14:paraId="25661ABE" w14:textId="52E96C3C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 w:themeColor="text1" w:themeTint="FF" w:themeShade="FF"/>
                <w:sz w:val="24"/>
                <w:szCs w:val="24"/>
                <w:lang w:val="en-GB"/>
              </w:rPr>
            </w:pPr>
          </w:p>
          <w:p w:rsidR="1D9F520C" w:rsidP="1D9F520C" w:rsidRDefault="1D9F520C" w14:paraId="2FABB4B0" w14:textId="2A1AE4A7">
            <w:pPr>
              <w:bidi w:val="0"/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F253C4C" w:rsidP="1D9F520C" w:rsidRDefault="2F253C4C" w14:paraId="3AA17744" w14:textId="12FA1A96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032"/>
                <w:sz w:val="32"/>
                <w:szCs w:val="32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97032"/>
                <w:sz w:val="32"/>
                <w:szCs w:val="32"/>
                <w:lang w:val="en-US"/>
              </w:rPr>
              <w:t>THIAMINE TO PREVENT REFEEDING SYNDROME</w:t>
            </w:r>
          </w:p>
          <w:p w:rsidR="1D9F520C" w:rsidP="1D9F520C" w:rsidRDefault="1D9F520C" w14:paraId="78E26144" w14:textId="52A2F6CE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</w:p>
          <w:p w:rsidR="2F253C4C" w:rsidP="1D9F520C" w:rsidRDefault="2F253C4C" w14:paraId="4CD3C2FE" w14:textId="34221A9F">
            <w:pPr>
              <w:pStyle w:val="Heading2"/>
              <w:keepNext w:val="1"/>
              <w:keepLines w:val="1"/>
              <w:shd w:val="clear" w:color="auto" w:fill="FFFFFF" w:themeFill="background1"/>
              <w:bidi w:val="0"/>
              <w:spacing w:before="0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US"/>
              </w:rPr>
              <w:t>Thiamine for refeeding syndrome</w:t>
            </w:r>
          </w:p>
          <w:p w:rsidR="2F253C4C" w:rsidP="1D9F520C" w:rsidRDefault="2F253C4C" w14:paraId="6BF4BBF0" w14:textId="2E49D47B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During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refeeding syndrome, the demand for thiamine increases which can lead to a depletion of stores.</w:t>
            </w:r>
          </w:p>
          <w:p w:rsidR="2F253C4C" w:rsidP="1D9F520C" w:rsidRDefault="2F253C4C" w14:paraId="458A8A1E" w14:textId="45D9BBD3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Thiamine replacement is thus indicated to prevent complications from thiamine deficiency such 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as the development of Wernicke’s encephalopathy which can progress to Korsakoff’s syndrome.</w:t>
            </w:r>
          </w:p>
          <w:p w:rsidR="2F253C4C" w:rsidP="1D9F520C" w:rsidRDefault="2F253C4C" w14:paraId="78FF71F8" w14:textId="284421DF">
            <w:pPr>
              <w:pStyle w:val="Heading2"/>
              <w:keepNext w:val="1"/>
              <w:keepLines w:val="1"/>
              <w:pBdr>
                <w:top w:val="single" w:color="E2E3E3" w:sz="6" w:space="0"/>
              </w:pBdr>
              <w:shd w:val="clear" w:color="auto" w:fill="FFFFFF" w:themeFill="background1"/>
              <w:bidi w:val="0"/>
              <w:spacing w:before="360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US"/>
              </w:rPr>
              <w:t>Products and availability</w:t>
            </w:r>
          </w:p>
          <w:p w:rsidR="2F253C4C" w:rsidP="1D9F520C" w:rsidRDefault="2F253C4C" w14:paraId="00B8E2C7" w14:textId="6CC4B47C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Intravenous thiamine</w:t>
            </w:r>
          </w:p>
          <w:p w:rsidR="2F253C4C" w:rsidP="1D9F520C" w:rsidRDefault="2F253C4C" w14:paraId="3729F43E" w14:textId="6862438A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Intravenous thiamine is an alternative to Pabrinex that can be used in some patients where indicated, although no product with a marketing authorisation currently exists in the UK.</w:t>
            </w:r>
          </w:p>
          <w:p w:rsidR="2F253C4C" w:rsidP="1D9F520C" w:rsidRDefault="2F253C4C" w14:paraId="3A5584F3" w14:textId="2096426C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Use oral thiamine and vitamin B first</w:t>
            </w:r>
          </w:p>
          <w:p w:rsidR="2F253C4C" w:rsidP="1D9F520C" w:rsidRDefault="2F253C4C" w14:paraId="21299328" w14:textId="76192FF3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Oral thiamine and vitamin B compound strong should be used first where supplementation is clinically indicated and appropriate.</w:t>
            </w:r>
          </w:p>
          <w:p w:rsidR="2F253C4C" w:rsidP="1D9F520C" w:rsidRDefault="2F253C4C" w14:paraId="1677B667" w14:textId="19C3752D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Use intravenous thiamine if high risk</w:t>
            </w:r>
          </w:p>
          <w:p w:rsidR="2F253C4C" w:rsidP="1D9F520C" w:rsidRDefault="2F253C4C" w14:paraId="15A9C096" w14:textId="77CEEDC9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If the oral or enteral route is not available, prescribe intravenous thiamine at the lowest clinically suitable dose and course length for patients at high or extremely 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high risk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of refeeding syndrome. 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Determine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risk 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en-US"/>
              </w:rPr>
              <w:t>based on NICE CG32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as follows:</w:t>
            </w:r>
          </w:p>
          <w:p w:rsidR="2F253C4C" w:rsidP="1D9F520C" w:rsidRDefault="2F253C4C" w14:paraId="1ED1543E" w14:textId="54D13789">
            <w:pPr>
              <w:pStyle w:val="Heading4"/>
              <w:keepNext w:val="1"/>
              <w:keepLines w:val="1"/>
              <w:shd w:val="clear" w:color="auto" w:fill="FFFFFF" w:themeFill="background1"/>
              <w:bidi w:val="0"/>
              <w:spacing w:before="270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505A57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05A57"/>
                <w:sz w:val="24"/>
                <w:szCs w:val="24"/>
                <w:lang w:val="en-US"/>
              </w:rPr>
              <w:t>High risk</w:t>
            </w:r>
          </w:p>
          <w:p w:rsidR="2F253C4C" w:rsidP="1D9F520C" w:rsidRDefault="2F253C4C" w14:paraId="6692824F" w14:textId="37ED4E0A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Patient has 1 or more of the following:</w:t>
            </w:r>
          </w:p>
          <w:p w:rsidR="2F253C4C" w:rsidP="1D9F520C" w:rsidRDefault="2F253C4C" w14:paraId="38E5B81A" w14:textId="6C3C20FF">
            <w:pPr>
              <w:pStyle w:val="ListParagraph"/>
              <w:numPr>
                <w:ilvl w:val="0"/>
                <w:numId w:val="93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BMI less than 16kg/m2</w:t>
            </w:r>
          </w:p>
          <w:p w:rsidR="2F253C4C" w:rsidP="1D9F520C" w:rsidRDefault="2F253C4C" w14:paraId="7566CF10" w14:textId="5D8DF656">
            <w:pPr>
              <w:pStyle w:val="ListParagraph"/>
              <w:numPr>
                <w:ilvl w:val="0"/>
                <w:numId w:val="93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Unintentional weight loss greater than 15% within the last 3 to 6 months</w:t>
            </w:r>
          </w:p>
          <w:p w:rsidR="2F253C4C" w:rsidP="1D9F520C" w:rsidRDefault="2F253C4C" w14:paraId="293DCECC" w14:textId="7B4BC607">
            <w:pPr>
              <w:pStyle w:val="ListParagraph"/>
              <w:numPr>
                <w:ilvl w:val="0"/>
                <w:numId w:val="93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little or no nutritional intake for more than 10 days</w:t>
            </w:r>
          </w:p>
          <w:p w:rsidR="2F253C4C" w:rsidP="1D9F520C" w:rsidRDefault="2F253C4C" w14:paraId="14A5A787" w14:textId="3B891EFC">
            <w:pPr>
              <w:pStyle w:val="ListParagraph"/>
              <w:numPr>
                <w:ilvl w:val="0"/>
                <w:numId w:val="93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low levels of potassium, phosphate or magnesium before feeding</w:t>
            </w:r>
          </w:p>
          <w:p w:rsidR="1D9F520C" w:rsidP="1D9F520C" w:rsidRDefault="1D9F520C" w14:paraId="25E88C14" w14:textId="07D33BCC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ind w:lef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</w:p>
          <w:p w:rsidR="2F253C4C" w:rsidP="1D9F520C" w:rsidRDefault="2F253C4C" w14:paraId="4F2C6C2C" w14:textId="4E4ADF4E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Or patient has 2 or more of the following:</w:t>
            </w:r>
          </w:p>
          <w:p w:rsidR="2F253C4C" w:rsidP="1D9F520C" w:rsidRDefault="2F253C4C" w14:paraId="0C04CA16" w14:textId="31F4AB8E">
            <w:pPr>
              <w:pStyle w:val="ListParagraph"/>
              <w:numPr>
                <w:ilvl w:val="0"/>
                <w:numId w:val="9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BMI less than 18.5kg/m2</w:t>
            </w:r>
          </w:p>
          <w:p w:rsidR="2F253C4C" w:rsidP="1D9F520C" w:rsidRDefault="2F253C4C" w14:paraId="2F3C8C29" w14:textId="578593F0">
            <w:pPr>
              <w:pStyle w:val="ListParagraph"/>
              <w:numPr>
                <w:ilvl w:val="0"/>
                <w:numId w:val="9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Unintentional weight loss greater than 10% within the last 3 to 6 months</w:t>
            </w:r>
          </w:p>
          <w:p w:rsidR="2F253C4C" w:rsidP="1D9F520C" w:rsidRDefault="2F253C4C" w14:paraId="15AE49F3" w14:textId="0353DF78">
            <w:pPr>
              <w:pStyle w:val="ListParagraph"/>
              <w:numPr>
                <w:ilvl w:val="0"/>
                <w:numId w:val="9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Little or no nutritional intake for more than 5 days</w:t>
            </w:r>
          </w:p>
          <w:p w:rsidR="2F253C4C" w:rsidP="1D9F520C" w:rsidRDefault="2F253C4C" w14:paraId="0BD378C7" w14:textId="3DBFDE69">
            <w:pPr>
              <w:pStyle w:val="ListParagraph"/>
              <w:numPr>
                <w:ilvl w:val="0"/>
                <w:numId w:val="9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A history of alcohol abuse or drugs including insulin, chemotherapy, antacids or diuretics</w:t>
            </w:r>
          </w:p>
          <w:p w:rsidR="2F253C4C" w:rsidP="1D9F520C" w:rsidRDefault="2F253C4C" w14:paraId="775E2F70" w14:textId="43C032F5">
            <w:pPr>
              <w:pStyle w:val="Heading4"/>
              <w:keepNext w:val="1"/>
              <w:keepLines w:val="1"/>
              <w:shd w:val="clear" w:color="auto" w:fill="FFFFFF" w:themeFill="background1"/>
              <w:bidi w:val="0"/>
              <w:spacing w:before="270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505A57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05A57"/>
                <w:sz w:val="24"/>
                <w:szCs w:val="24"/>
                <w:lang w:val="en-US"/>
              </w:rPr>
              <w:t>Extremely high risk</w:t>
            </w:r>
          </w:p>
          <w:p w:rsidR="2F253C4C" w:rsidP="1D9F520C" w:rsidRDefault="2F253C4C" w14:paraId="6B94C0BF" w14:textId="3538F5E7">
            <w:p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Patient has the following:</w:t>
            </w:r>
          </w:p>
          <w:p w:rsidR="2F253C4C" w:rsidP="1D9F520C" w:rsidRDefault="2F253C4C" w14:paraId="75AE61B6" w14:textId="315A426B">
            <w:pPr>
              <w:pStyle w:val="ListParagraph"/>
              <w:numPr>
                <w:ilvl w:val="0"/>
                <w:numId w:val="97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BMI less than 14 kg/m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vertAlign w:val="superscript"/>
                <w:lang w:val="en-US"/>
              </w:rPr>
              <w:t>2</w:t>
            </w: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with negligible nutrition for more than 15 days.</w:t>
            </w:r>
          </w:p>
          <w:p w:rsidR="2F253C4C" w:rsidP="1D9F520C" w:rsidRDefault="2F253C4C" w14:paraId="0DC93B49" w14:textId="361FB647">
            <w:pPr>
              <w:pStyle w:val="Heading2"/>
              <w:keepNext w:val="1"/>
              <w:keepLines w:val="1"/>
              <w:pBdr>
                <w:top w:val="single" w:color="E2E3E3" w:sz="6" w:space="0"/>
              </w:pBdr>
              <w:shd w:val="clear" w:color="auto" w:fill="FFFFFF" w:themeFill="background1"/>
              <w:bidi w:val="0"/>
              <w:spacing w:before="360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B9BD5" w:themeColor="accent5" w:themeTint="FF" w:themeShade="FF"/>
                <w:sz w:val="24"/>
                <w:szCs w:val="24"/>
                <w:lang w:val="en-US"/>
              </w:rPr>
              <w:t>Doses of intravenous thiamine</w:t>
            </w:r>
          </w:p>
          <w:p w:rsidR="2F253C4C" w:rsidP="1D9F520C" w:rsidRDefault="2F253C4C" w14:paraId="3CB5483E" w14:textId="2F4831B0">
            <w:pPr>
              <w:shd w:val="clear" w:color="auto" w:fill="FFFFFF" w:themeFill="background1"/>
              <w:bidi w:val="0"/>
              <w:spacing w:before="0" w:beforeAutospacing="off" w:after="24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Where intravenous thiamine is indicated, the following doses can be used.</w:t>
            </w:r>
          </w:p>
          <w:p w:rsidR="2F253C4C" w:rsidP="1D9F520C" w:rsidRDefault="2F253C4C" w14:paraId="5F49D234" w14:textId="5B498DEC">
            <w:pPr>
              <w:pStyle w:val="Heading3"/>
              <w:keepNext w:val="1"/>
              <w:keepLines w:val="1"/>
              <w:pBdr>
                <w:top w:val="dotted" w:color="E2E3E3" w:sz="6" w:space="0"/>
              </w:pBdr>
              <w:shd w:val="clear" w:color="auto" w:fill="FFFFFF" w:themeFill="background1"/>
              <w:bidi w:val="0"/>
              <w:spacing w:before="315" w:beforeAutospacing="off" w:after="12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Adults</w:t>
            </w:r>
          </w:p>
          <w:p w:rsidR="2F253C4C" w:rsidP="1D9F520C" w:rsidRDefault="2F253C4C" w14:paraId="1038F016" w14:textId="4B8FB1F4">
            <w:pPr>
              <w:pStyle w:val="ListParagraph"/>
              <w:numPr>
                <w:ilvl w:val="0"/>
                <w:numId w:val="102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Give 200-300mg once daily prior to starting parenteral nutrition</w:t>
            </w:r>
          </w:p>
          <w:p w:rsidR="2F253C4C" w:rsidP="1D9F520C" w:rsidRDefault="2F253C4C" w14:paraId="142037E6" w14:textId="13FA0CB7">
            <w:pPr>
              <w:pStyle w:val="ListParagraph"/>
              <w:numPr>
                <w:ilvl w:val="0"/>
                <w:numId w:val="102"/>
              </w:numPr>
              <w:shd w:val="clear" w:color="auto" w:fill="FFFFFF" w:themeFill="background1"/>
              <w:bidi w:val="0"/>
              <w:spacing w:before="0" w:beforeAutospacing="off" w:after="0" w:afterAutospacing="off" w:line="279" w:lineRule="auto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GB"/>
              </w:rPr>
            </w:pPr>
            <w:r w:rsidRPr="1D9F520C" w:rsidR="2F253C4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Continue for at least 2 more days (total course of 3 days); or 4 more days (total course of 5 days) in higher-risk patients.</w:t>
            </w:r>
          </w:p>
          <w:p w:rsidRPr="005A0994" w:rsidR="00C843CC" w:rsidP="5C5DEAFD" w:rsidRDefault="00C843CC" w14:paraId="4A146E7D" wp14:textId="73ADB1D2">
            <w:pPr>
              <w:pStyle w:val="Normal"/>
              <w:suppressLineNumbers w:val="0"/>
              <w:shd w:val="clear" w:color="auto" w:fill="FFFFFF" w:themeFill="background1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Pr="005A0994" w:rsidR="00C843CC" w:rsidP="5C5DEAFD" w:rsidRDefault="00C843CC" w14:paraId="4CBB6911" wp14:textId="0C83BD85">
            <w:pPr>
              <w:pStyle w:val="Normal"/>
              <w:shd w:val="clear" w:color="auto" w:fill="FFFFFF" w:themeFill="background1"/>
              <w:spacing w:before="0" w:beforeAutospacing="off" w:after="240" w:afterAutospacing="off"/>
              <w:ind w:left="0" w:hanging="0"/>
              <w:jc w:val="left"/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single"/>
                <w:lang w:val="en-GB"/>
              </w:rPr>
            </w:pPr>
            <w:r w:rsidRPr="5C5DEAFD" w:rsidR="5EE8B5C8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u w:val="single"/>
                <w:lang w:val="en-GB"/>
              </w:rPr>
              <w:t>Key resources</w:t>
            </w:r>
          </w:p>
          <w:p w:rsidRPr="005A0994" w:rsidR="00C843CC" w:rsidP="5C5DEAFD" w:rsidRDefault="00C843CC" w14:paraId="69213557" wp14:textId="4114F804">
            <w:pPr>
              <w:shd w:val="clear" w:color="auto" w:fill="FFFFFF" w:themeFill="background1"/>
              <w:spacing w:before="0" w:beforeAutospacing="off" w:after="60" w:afterAutospacing="off"/>
              <w:ind w:left="240" w:right="0"/>
              <w:jc w:val="left"/>
            </w:pPr>
            <w:hyperlink w:anchor="gref" r:id="Rac9e2270508f4365">
              <w:r w:rsidRPr="5C5DEAFD" w:rsidR="5EE8B5C8">
                <w:rPr>
                  <w:rStyle w:val="Hyperlink"/>
                  <w:rFonts w:ascii="Helvetica" w:hAnsi="Helvetica" w:eastAsia="Helvetica" w:cs="Helvetica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5EB8"/>
                  <w:sz w:val="24"/>
                  <w:szCs w:val="24"/>
                  <w:u w:val="single"/>
                  <w:lang w:val="en-GB"/>
                </w:rPr>
                <w:t>SmPC Pabrinex Intravenous High Potency, Concentrate for Solution for Infusion</w:t>
              </w:r>
            </w:hyperlink>
          </w:p>
          <w:p w:rsidRPr="005A0994" w:rsidR="00C843CC" w:rsidP="5C5DEAFD" w:rsidRDefault="00C843CC" w14:paraId="581AD3D2" wp14:textId="0AA63AEA">
            <w:pPr>
              <w:shd w:val="clear" w:color="auto" w:fill="FFFFFF" w:themeFill="background1"/>
              <w:spacing w:before="0" w:beforeAutospacing="off" w:after="60" w:afterAutospacing="off"/>
              <w:ind w:left="240" w:right="0"/>
              <w:jc w:val="left"/>
            </w:pPr>
            <w:hyperlink r:id="Rb9eca4091858409d">
              <w:r w:rsidRPr="5C5DEAFD" w:rsidR="5EE8B5C8">
                <w:rPr>
                  <w:rStyle w:val="Hyperlink"/>
                  <w:rFonts w:ascii="Helvetica" w:hAnsi="Helvetica" w:eastAsia="Helvetica" w:cs="Helvetica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5EB8"/>
                  <w:sz w:val="24"/>
                  <w:szCs w:val="24"/>
                  <w:u w:val="single"/>
                  <w:lang w:val="en-GB"/>
                </w:rPr>
                <w:t>BNF Vitamin B substances with ascorbic acid</w:t>
              </w:r>
            </w:hyperlink>
          </w:p>
          <w:p w:rsidRPr="005A0994" w:rsidR="00C843CC" w:rsidP="5C5DEAFD" w:rsidRDefault="00C843CC" w14:paraId="41879503" wp14:textId="2F6ECD51">
            <w:pPr>
              <w:shd w:val="clear" w:color="auto" w:fill="FFFFFF" w:themeFill="background1"/>
              <w:spacing w:before="0" w:beforeAutospacing="off" w:after="60" w:afterAutospacing="off"/>
              <w:ind w:left="240" w:right="0"/>
              <w:jc w:val="left"/>
            </w:pPr>
            <w:hyperlink r:id="Rc77aa8c998e5422f">
              <w:r w:rsidRPr="5C5DEAFD" w:rsidR="5EE8B5C8">
                <w:rPr>
                  <w:rStyle w:val="Hyperlink"/>
                  <w:rFonts w:ascii="Helvetica" w:hAnsi="Helvetica" w:eastAsia="Helvetica" w:cs="Helvetica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5EB8"/>
                  <w:sz w:val="24"/>
                  <w:szCs w:val="24"/>
                  <w:u w:val="single"/>
                  <w:lang w:val="en-GB"/>
                </w:rPr>
                <w:t>NICE CG100 Alcohol-use disorders: diagnosis and management of physical complications</w:t>
              </w:r>
            </w:hyperlink>
          </w:p>
          <w:p w:rsidRPr="005A0994" w:rsidR="00C843CC" w:rsidP="5C5DEAFD" w:rsidRDefault="00C843CC" w14:paraId="49BEACA1" wp14:textId="35772D53">
            <w:pPr>
              <w:shd w:val="clear" w:color="auto" w:fill="FFFFFF" w:themeFill="background1"/>
              <w:spacing w:before="0" w:beforeAutospacing="off" w:after="60" w:afterAutospacing="off"/>
              <w:ind w:left="240" w:right="0"/>
              <w:jc w:val="left"/>
            </w:pPr>
            <w:hyperlink r:id="R1616ce285cda4013">
              <w:r w:rsidRPr="5C5DEAFD" w:rsidR="5EE8B5C8">
                <w:rPr>
                  <w:rStyle w:val="Hyperlink"/>
                  <w:rFonts w:ascii="Helvetica" w:hAnsi="Helvetica" w:eastAsia="Helvetica" w:cs="Helvetica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5EB8"/>
                  <w:sz w:val="24"/>
                  <w:szCs w:val="24"/>
                  <w:u w:val="single"/>
                  <w:lang w:val="en-GB"/>
                </w:rPr>
                <w:t>NICE CG32 Nutrition support for adults: oral nutrition support, enteral tube feeding and parenteral nutrition</w:t>
              </w:r>
            </w:hyperlink>
          </w:p>
          <w:p w:rsidRPr="005A0994" w:rsidR="00C843CC" w:rsidP="5C5DEAFD" w:rsidRDefault="00C843CC" w14:paraId="077F4FC9" wp14:textId="3F2B5D66">
            <w:pPr>
              <w:shd w:val="clear" w:color="auto" w:fill="FFFFFF" w:themeFill="background1"/>
              <w:spacing w:before="0" w:beforeAutospacing="off" w:after="60" w:afterAutospacing="off"/>
              <w:ind w:left="240" w:right="0"/>
              <w:jc w:val="left"/>
            </w:pPr>
            <w:hyperlink r:id="Rac4d1b4cb5a74d34">
              <w:r w:rsidRPr="5C5DEAFD" w:rsidR="5EE8B5C8">
                <w:rPr>
                  <w:rStyle w:val="Hyperlink"/>
                  <w:rFonts w:ascii="Helvetica" w:hAnsi="Helvetica" w:eastAsia="Helvetica" w:cs="Helvetica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5EB8"/>
                  <w:sz w:val="24"/>
                  <w:szCs w:val="24"/>
                  <w:u w:val="single"/>
                  <w:lang w:val="en-GB"/>
                </w:rPr>
                <w:t>Guidance on prescribing thiamine for patients at risk of refeeding syndrome</w:t>
              </w:r>
            </w:hyperlink>
          </w:p>
          <w:p w:rsidRPr="005A0994" w:rsidR="00C843CC" w:rsidP="5C5DEAFD" w:rsidRDefault="00C843CC" w14:paraId="06441947" wp14:textId="347BDE1D">
            <w:pPr>
              <w:shd w:val="clear" w:color="auto" w:fill="FFFFFF" w:themeFill="background1"/>
              <w:spacing w:before="0" w:beforeAutospacing="off" w:after="60" w:afterAutospacing="off"/>
              <w:ind w:left="240" w:right="0"/>
              <w:jc w:val="left"/>
            </w:pPr>
            <w:hyperlink r:id="R01d14055059e45e6">
              <w:r w:rsidRPr="5C5DEAFD" w:rsidR="5EE8B5C8">
                <w:rPr>
                  <w:rStyle w:val="Hyperlink"/>
                  <w:rFonts w:ascii="Helvetica" w:hAnsi="Helvetica" w:eastAsia="Helvetica" w:cs="Helvetica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5EB8"/>
                  <w:sz w:val="24"/>
                  <w:szCs w:val="24"/>
                  <w:u w:val="single"/>
                  <w:lang w:val="en-GB"/>
                </w:rPr>
                <w:t>Using and prescribing thiamine in alcohol dependence</w:t>
              </w:r>
            </w:hyperlink>
          </w:p>
          <w:p w:rsidRPr="005A0994" w:rsidR="00C843CC" w:rsidP="5C5DEAFD" w:rsidRDefault="00C843CC" w14:paraId="60061E4C" wp14:textId="4AFD9407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240" w:afterAutospacing="off" w:line="259" w:lineRule="auto"/>
              <w:ind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5A0994" w:rsidR="004F2E13" w:rsidTr="0EE6B8E0" w14:paraId="219B70C8" wp14:textId="77777777">
        <w:trPr>
          <w:trHeight w:val="550"/>
        </w:trPr>
        <w:tc>
          <w:tcPr>
            <w:tcW w:w="10490" w:type="dxa"/>
            <w:gridSpan w:val="2"/>
            <w:shd w:val="clear" w:color="auto" w:fill="auto"/>
            <w:tcMar/>
          </w:tcPr>
          <w:p w:rsidRPr="005A0994" w:rsidR="00562F78" w:rsidP="5C5DEAFD" w:rsidRDefault="00562F78" w14:paraId="4BDC332C" wp14:textId="40E62360">
            <w:pPr>
              <w:pStyle w:val="Normal"/>
              <w:spacing w:before="240"/>
              <w:jc w:val="center"/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C5DEAFD" w:rsidR="3C08DFD1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FOR FURTHER INFORMATION CONTACT YOUR WARD BASED PHARMACY TEAM </w:t>
            </w:r>
            <w:r>
              <w:br/>
            </w:r>
            <w:r w:rsidRPr="5C5DEAFD" w:rsidR="3C08DFD1">
              <w:rPr>
                <w:rFonts w:ascii="Helvetica" w:hAnsi="Helvetica" w:eastAsia="Helvetica" w:cs="Helvetica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</w:t>
            </w:r>
            <w:r w:rsidRPr="5C5DEAFD" w:rsidR="3C08DFD1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>
              <w:br/>
            </w:r>
            <w:r w:rsidRPr="5C5DEAFD" w:rsidR="3C08DFD1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PHARMACY DEPARTMENT (CITY ext.5263; SANDWELL ext.3783). </w:t>
            </w:r>
            <w:r>
              <w:br/>
            </w:r>
          </w:p>
          <w:p w:rsidRPr="005A0994" w:rsidR="00562F78" w:rsidP="48DEDC68" w:rsidRDefault="00562F78" w14:paraId="44EAFD9C" wp14:textId="11FBF48C">
            <w:pPr>
              <w:pStyle w:val="Normal"/>
              <w:spacing w:before="0" w:beforeAutospacing="off"/>
              <w:jc w:val="center"/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Pr="005A0994" w:rsidR="000D0043" w:rsidTr="0EE6B8E0" w14:paraId="0971B523" wp14:textId="77777777">
        <w:trPr>
          <w:trHeight w:val="550"/>
        </w:trPr>
        <w:tc>
          <w:tcPr>
            <w:tcW w:w="5245" w:type="dxa"/>
            <w:shd w:val="clear" w:color="auto" w:fill="auto"/>
            <w:tcMar/>
          </w:tcPr>
          <w:p w:rsidR="00D7563C" w:rsidP="48DEDC68" w:rsidRDefault="000D0043" w14:paraId="527C09DF" wp14:textId="361D5AB9">
            <w:pPr>
              <w:spacing w:before="240" w:after="240"/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</w:pPr>
            <w:r w:rsidRPr="2F32FD9F" w:rsidR="48FD05B0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DATE OF ISSUE:</w:t>
            </w:r>
            <w:r w:rsidRPr="2F32FD9F" w:rsidR="4B467F1C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 xml:space="preserve"> </w:t>
            </w:r>
            <w:r w:rsidRPr="2F32FD9F" w:rsidR="51B20CF8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0</w:t>
            </w:r>
            <w:r w:rsidRPr="2F32FD9F" w:rsidR="22DA5818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3</w:t>
            </w:r>
            <w:r w:rsidRPr="2F32FD9F" w:rsidR="4B467F1C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.0</w:t>
            </w:r>
            <w:r w:rsidRPr="2F32FD9F" w:rsidR="18D360F5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9</w:t>
            </w:r>
            <w:r w:rsidRPr="2F32FD9F" w:rsidR="4B467F1C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.2024</w:t>
            </w:r>
          </w:p>
          <w:p w:rsidRPr="005A0994" w:rsidR="000D0043" w:rsidP="48DEDC68" w:rsidRDefault="000D0043" w14:paraId="4B94D5A5" wp14:textId="77777777">
            <w:pPr>
              <w:spacing w:before="240" w:after="240"/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tcMar/>
          </w:tcPr>
          <w:p w:rsidRPr="005A0994" w:rsidR="000D0043" w:rsidP="48DEDC68" w:rsidRDefault="000D0043" w14:paraId="0B73BCA0" wp14:textId="48373F44">
            <w:pPr>
              <w:spacing w:before="240"/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</w:pPr>
            <w:r w:rsidRPr="4106D5B3" w:rsidR="48FD05B0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REFERENCE NUMBER:</w:t>
            </w:r>
            <w:r w:rsidRPr="4106D5B3" w:rsidR="4645D48E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 xml:space="preserve"> </w:t>
            </w:r>
            <w:r w:rsidRPr="4106D5B3" w:rsidR="173EFEA8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0</w:t>
            </w:r>
            <w:r w:rsidRPr="4106D5B3" w:rsidR="57CDD069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1</w:t>
            </w:r>
            <w:r w:rsidRPr="4106D5B3" w:rsidR="31F458B4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-0</w:t>
            </w:r>
            <w:r w:rsidRPr="4106D5B3" w:rsidR="5FAFE075">
              <w:rPr>
                <w:rFonts w:ascii="Helvetica" w:hAnsi="Helvetica" w:eastAsia="Helvetica" w:cs="Helvetica"/>
                <w:b w:val="0"/>
                <w:bCs w:val="0"/>
                <w:sz w:val="22"/>
                <w:szCs w:val="22"/>
              </w:rPr>
              <w:t>924</w:t>
            </w:r>
          </w:p>
        </w:tc>
      </w:tr>
    </w:tbl>
    <w:p xmlns:wp14="http://schemas.microsoft.com/office/word/2010/wordml" w:rsidR="004F2E13" w:rsidP="48DEDC68" w:rsidRDefault="004F2E13" w14:paraId="3DEEC669" wp14:textId="77777777">
      <w:pPr>
        <w:rPr>
          <w:rFonts w:ascii="Helvetica" w:hAnsi="Helvetica" w:eastAsia="Helvetica" w:cs="Helvetica"/>
        </w:rPr>
      </w:pPr>
    </w:p>
    <w:p xmlns:wp14="http://schemas.microsoft.com/office/word/2010/wordml" w:rsidR="006E4C06" w:rsidP="48DEDC68" w:rsidRDefault="006E4C06" w14:paraId="3656B9AB" wp14:textId="315B7F1C">
      <w:pPr>
        <w:rPr>
          <w:rFonts w:ascii="Helvetica" w:hAnsi="Helvetica" w:eastAsia="Helvetica" w:cs="Helvetica"/>
        </w:rPr>
      </w:pPr>
    </w:p>
    <w:sectPr w:rsidR="006E4C06" w:rsidSect="004E25D9">
      <w:headerReference w:type="default" r:id="rId12"/>
      <w:pgSz w:w="11906" w:h="16838" w:orient="portrait"/>
      <w:pgMar w:top="1440" w:right="1418" w:bottom="1440" w:left="1418" w:header="709" w:footer="709" w:gutter="0"/>
      <w:cols w:space="708"/>
      <w:docGrid w:linePitch="360"/>
      <w:footerReference w:type="default" r:id="R643f76c306f24fe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F7D1B" w:rsidRDefault="005F7D1B" w14:paraId="45FB0818" wp14:textId="77777777">
      <w:r>
        <w:separator/>
      </w:r>
    </w:p>
  </w:endnote>
  <w:endnote w:type="continuationSeparator" w:id="0">
    <w:p xmlns:wp14="http://schemas.microsoft.com/office/word/2010/wordml" w:rsidR="005F7D1B" w:rsidRDefault="005F7D1B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DEDC68" w:rsidTr="48DEDC68" w14:paraId="01A7B4F1">
      <w:trPr>
        <w:trHeight w:val="300"/>
      </w:trPr>
      <w:tc>
        <w:tcPr>
          <w:tcW w:w="3020" w:type="dxa"/>
          <w:tcMar/>
        </w:tcPr>
        <w:p w:rsidR="48DEDC68" w:rsidP="48DEDC68" w:rsidRDefault="48DEDC68" w14:paraId="2F6F5630" w14:textId="485BC1CD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8DEDC68" w:rsidP="48DEDC68" w:rsidRDefault="48DEDC68" w14:paraId="1090AB0D" w14:textId="03C9409C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8DEDC68" w:rsidP="48DEDC68" w:rsidRDefault="48DEDC68" w14:paraId="6A2B6E34" w14:textId="0ED4712F">
          <w:pPr>
            <w:pStyle w:val="Header"/>
            <w:bidi w:val="0"/>
            <w:ind w:right="-115"/>
            <w:jc w:val="right"/>
          </w:pPr>
        </w:p>
      </w:tc>
    </w:tr>
  </w:tbl>
  <w:p w:rsidR="48DEDC68" w:rsidP="48DEDC68" w:rsidRDefault="48DEDC68" w14:paraId="2D39B50A" w14:textId="0EFC28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F7D1B" w:rsidRDefault="005F7D1B" w14:paraId="53128261" wp14:textId="77777777">
      <w:r>
        <w:separator/>
      </w:r>
    </w:p>
  </w:footnote>
  <w:footnote w:type="continuationSeparator" w:id="0">
    <w:p xmlns:wp14="http://schemas.microsoft.com/office/word/2010/wordml" w:rsidR="005F7D1B" w:rsidRDefault="005F7D1B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48DEDC68" w:rsidP="48DEDC68" w:rsidRDefault="48DEDC68" w14:paraId="29ED3037" w14:textId="398F0727">
    <w:pPr>
      <w:tabs>
        <w:tab w:val="left" w:leader="none" w:pos="8055"/>
      </w:tabs>
      <w:jc w:val="lef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="48DEDC68">
      <w:drawing>
        <wp:inline wp14:editId="582A52C9" wp14:anchorId="760D6806">
          <wp:extent cx="1276350" cy="514350"/>
          <wp:effectExtent l="0" t="0" r="0" b="0"/>
          <wp:docPr id="17321521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9c7b14af014403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8DEDC68" w:rsidR="48DEDC6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GB"/>
      </w:rPr>
      <w:t xml:space="preserve">                                                            </w:t>
    </w:r>
    <w:r w:rsidR="48DEDC68">
      <w:drawing>
        <wp:inline wp14:editId="5891FA3F" wp14:anchorId="0E6A2474">
          <wp:extent cx="2171700" cy="533400"/>
          <wp:effectExtent l="0" t="0" r="0" b="0"/>
          <wp:docPr id="262159234" name="" descr="A black text on a white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23da333d736421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XiFOlXeFUwHS4n" int2:id="uQDjgzQa">
      <int2:state int2:type="AugLoop_Text_Critique" int2:value="Rejected"/>
    </int2:textHash>
    <int2:textHash int2:hashCode="PV0oBrrDpGBjRa" int2:id="swoWtW8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4">
    <w:nsid w:val="1de0b4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1ce51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3340c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3c8fa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8ea0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2e401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217bd4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827e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7c490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658f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3ff22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0b5af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b3093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1e9aa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6a9eaf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513299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292f72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11e9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067c7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66199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5cced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bd7f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45442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cf16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4a985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148152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cccc1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ad60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3458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abda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1ea5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c3d9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587b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8e58f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64e6a4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e1e1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1d1b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4265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d907f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67ae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c161b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c3a4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3a4a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7bbe1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ca35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7a281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168c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8506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0b8e8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737a5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a102e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efc1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e5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20923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7e819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9bf5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8cc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2a0e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a692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2d2e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8c17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5680a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8ace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dc12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01d52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ea77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d6d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8c225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0c7e1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f4e1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2729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308b5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4641d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bd89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264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7a5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313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dd6f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93793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4b7a1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c85a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cd6f8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e35d9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3e6b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c4c6d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85042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fc43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b70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1e1c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13d3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671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274f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43df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5fbf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7af3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9525A2"/>
    <w:multiLevelType w:val="hybridMultilevel"/>
    <w:tmpl w:val="C3A05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F06649"/>
    <w:multiLevelType w:val="hybridMultilevel"/>
    <w:tmpl w:val="B246A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FC5CDC"/>
    <w:multiLevelType w:val="hybridMultilevel"/>
    <w:tmpl w:val="70640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8B13FE"/>
    <w:multiLevelType w:val="hybridMultilevel"/>
    <w:tmpl w:val="52C82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637C3A"/>
    <w:multiLevelType w:val="hybridMultilevel"/>
    <w:tmpl w:val="2B2CA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8C5151"/>
    <w:multiLevelType w:val="hybridMultilevel"/>
    <w:tmpl w:val="405C9B62"/>
    <w:lvl w:ilvl="0" w:tplc="331C3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72F40"/>
    <w:multiLevelType w:val="hybridMultilevel"/>
    <w:tmpl w:val="D70A4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3065CB"/>
    <w:multiLevelType w:val="hybridMultilevel"/>
    <w:tmpl w:val="D11CC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49DA"/>
    <w:multiLevelType w:val="hybridMultilevel"/>
    <w:tmpl w:val="D2D239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855B44"/>
    <w:multiLevelType w:val="hybridMultilevel"/>
    <w:tmpl w:val="0C267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655845301">
    <w:abstractNumId w:val="1"/>
  </w:num>
  <w:num w:numId="2" w16cid:durableId="1796680806">
    <w:abstractNumId w:val="5"/>
  </w:num>
  <w:num w:numId="3" w16cid:durableId="2017685028">
    <w:abstractNumId w:val="4"/>
  </w:num>
  <w:num w:numId="4" w16cid:durableId="712464176">
    <w:abstractNumId w:val="6"/>
  </w:num>
  <w:num w:numId="5" w16cid:durableId="275648497">
    <w:abstractNumId w:val="9"/>
  </w:num>
  <w:num w:numId="6" w16cid:durableId="1207370008">
    <w:abstractNumId w:val="3"/>
  </w:num>
  <w:num w:numId="7" w16cid:durableId="916480009">
    <w:abstractNumId w:val="0"/>
  </w:num>
  <w:num w:numId="8" w16cid:durableId="296180458">
    <w:abstractNumId w:val="2"/>
  </w:num>
  <w:num w:numId="9" w16cid:durableId="371225682">
    <w:abstractNumId w:val="8"/>
  </w:num>
  <w:num w:numId="10" w16cid:durableId="124113345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98"/>
    <w:rsid w:val="00000F24"/>
    <w:rsid w:val="00002DAB"/>
    <w:rsid w:val="00042EBF"/>
    <w:rsid w:val="00046A32"/>
    <w:rsid w:val="0005636C"/>
    <w:rsid w:val="00063719"/>
    <w:rsid w:val="000B3257"/>
    <w:rsid w:val="000C28E5"/>
    <w:rsid w:val="000C7E72"/>
    <w:rsid w:val="000D0043"/>
    <w:rsid w:val="000F2E62"/>
    <w:rsid w:val="0011197B"/>
    <w:rsid w:val="00112F7E"/>
    <w:rsid w:val="00122DAE"/>
    <w:rsid w:val="0012692D"/>
    <w:rsid w:val="00127FED"/>
    <w:rsid w:val="00133B08"/>
    <w:rsid w:val="00142537"/>
    <w:rsid w:val="001429B0"/>
    <w:rsid w:val="00151EE8"/>
    <w:rsid w:val="001753DE"/>
    <w:rsid w:val="001760A0"/>
    <w:rsid w:val="00184FC6"/>
    <w:rsid w:val="00190E6F"/>
    <w:rsid w:val="00192625"/>
    <w:rsid w:val="001A2978"/>
    <w:rsid w:val="001A67D9"/>
    <w:rsid w:val="001B46A3"/>
    <w:rsid w:val="001B4B14"/>
    <w:rsid w:val="001C2C0A"/>
    <w:rsid w:val="001C5600"/>
    <w:rsid w:val="001C6FE2"/>
    <w:rsid w:val="001D2F6F"/>
    <w:rsid w:val="001E73CC"/>
    <w:rsid w:val="001F35F4"/>
    <w:rsid w:val="0023132D"/>
    <w:rsid w:val="0027728A"/>
    <w:rsid w:val="00281017"/>
    <w:rsid w:val="002810D3"/>
    <w:rsid w:val="002A6B7D"/>
    <w:rsid w:val="002B36D1"/>
    <w:rsid w:val="002C108E"/>
    <w:rsid w:val="002C28BD"/>
    <w:rsid w:val="002C3DCC"/>
    <w:rsid w:val="002E40C5"/>
    <w:rsid w:val="002F0833"/>
    <w:rsid w:val="003164B5"/>
    <w:rsid w:val="003549EC"/>
    <w:rsid w:val="003823A0"/>
    <w:rsid w:val="003A5E44"/>
    <w:rsid w:val="003F507B"/>
    <w:rsid w:val="004013FE"/>
    <w:rsid w:val="00403415"/>
    <w:rsid w:val="004270E8"/>
    <w:rsid w:val="0043272B"/>
    <w:rsid w:val="00434C8A"/>
    <w:rsid w:val="00446672"/>
    <w:rsid w:val="00460377"/>
    <w:rsid w:val="00481B70"/>
    <w:rsid w:val="00496A2E"/>
    <w:rsid w:val="00496A49"/>
    <w:rsid w:val="004A8B76"/>
    <w:rsid w:val="004E25D9"/>
    <w:rsid w:val="004E3EDD"/>
    <w:rsid w:val="004F2E13"/>
    <w:rsid w:val="00503C55"/>
    <w:rsid w:val="00526F5D"/>
    <w:rsid w:val="00541963"/>
    <w:rsid w:val="00542166"/>
    <w:rsid w:val="0054566C"/>
    <w:rsid w:val="00553E21"/>
    <w:rsid w:val="00556BA3"/>
    <w:rsid w:val="00560D73"/>
    <w:rsid w:val="00562F78"/>
    <w:rsid w:val="00566018"/>
    <w:rsid w:val="00567C53"/>
    <w:rsid w:val="005A0994"/>
    <w:rsid w:val="005B34AD"/>
    <w:rsid w:val="005D2053"/>
    <w:rsid w:val="005D6F51"/>
    <w:rsid w:val="005F1852"/>
    <w:rsid w:val="005F7D1B"/>
    <w:rsid w:val="006041FA"/>
    <w:rsid w:val="0063029F"/>
    <w:rsid w:val="006407B2"/>
    <w:rsid w:val="00654232"/>
    <w:rsid w:val="00667E3A"/>
    <w:rsid w:val="006839EF"/>
    <w:rsid w:val="006A14A1"/>
    <w:rsid w:val="006A4CB7"/>
    <w:rsid w:val="006B4262"/>
    <w:rsid w:val="006E3167"/>
    <w:rsid w:val="006E4C06"/>
    <w:rsid w:val="006E6350"/>
    <w:rsid w:val="006E6483"/>
    <w:rsid w:val="00701B92"/>
    <w:rsid w:val="00704AA9"/>
    <w:rsid w:val="00727713"/>
    <w:rsid w:val="00767892"/>
    <w:rsid w:val="00777678"/>
    <w:rsid w:val="0079376C"/>
    <w:rsid w:val="0079506B"/>
    <w:rsid w:val="007B3EC8"/>
    <w:rsid w:val="007C1978"/>
    <w:rsid w:val="007D6E12"/>
    <w:rsid w:val="007E1702"/>
    <w:rsid w:val="007F6DEB"/>
    <w:rsid w:val="00800A12"/>
    <w:rsid w:val="0080161C"/>
    <w:rsid w:val="0082300C"/>
    <w:rsid w:val="00826381"/>
    <w:rsid w:val="008351AE"/>
    <w:rsid w:val="00843E55"/>
    <w:rsid w:val="00860D6A"/>
    <w:rsid w:val="00864B5A"/>
    <w:rsid w:val="0087440E"/>
    <w:rsid w:val="008D3657"/>
    <w:rsid w:val="008F03D2"/>
    <w:rsid w:val="008F4C1D"/>
    <w:rsid w:val="008F78E9"/>
    <w:rsid w:val="00910030"/>
    <w:rsid w:val="00913111"/>
    <w:rsid w:val="009264BF"/>
    <w:rsid w:val="00932234"/>
    <w:rsid w:val="00942C3A"/>
    <w:rsid w:val="009504EC"/>
    <w:rsid w:val="00997022"/>
    <w:rsid w:val="00997200"/>
    <w:rsid w:val="009C0136"/>
    <w:rsid w:val="009E50BC"/>
    <w:rsid w:val="009E7164"/>
    <w:rsid w:val="00A00898"/>
    <w:rsid w:val="00A041CE"/>
    <w:rsid w:val="00A30BE1"/>
    <w:rsid w:val="00A41B0E"/>
    <w:rsid w:val="00A450E5"/>
    <w:rsid w:val="00A45FFD"/>
    <w:rsid w:val="00A465A2"/>
    <w:rsid w:val="00A53D38"/>
    <w:rsid w:val="00A81F74"/>
    <w:rsid w:val="00A92B81"/>
    <w:rsid w:val="00A956B2"/>
    <w:rsid w:val="00AA78A1"/>
    <w:rsid w:val="00AC0B36"/>
    <w:rsid w:val="00AD75AF"/>
    <w:rsid w:val="00AE1754"/>
    <w:rsid w:val="00AE18BD"/>
    <w:rsid w:val="00AE7CAD"/>
    <w:rsid w:val="00AF71F5"/>
    <w:rsid w:val="00B02EE6"/>
    <w:rsid w:val="00B05416"/>
    <w:rsid w:val="00B07979"/>
    <w:rsid w:val="00B271F7"/>
    <w:rsid w:val="00B7012E"/>
    <w:rsid w:val="00B743E8"/>
    <w:rsid w:val="00B81B9E"/>
    <w:rsid w:val="00BA0631"/>
    <w:rsid w:val="00BB0125"/>
    <w:rsid w:val="00BB0F8E"/>
    <w:rsid w:val="00BB5C7C"/>
    <w:rsid w:val="00BC4063"/>
    <w:rsid w:val="00BF758E"/>
    <w:rsid w:val="00C3050F"/>
    <w:rsid w:val="00C35E29"/>
    <w:rsid w:val="00C37BAF"/>
    <w:rsid w:val="00C505FA"/>
    <w:rsid w:val="00C71CE7"/>
    <w:rsid w:val="00C83055"/>
    <w:rsid w:val="00C83924"/>
    <w:rsid w:val="00C843CC"/>
    <w:rsid w:val="00C935ED"/>
    <w:rsid w:val="00CA2957"/>
    <w:rsid w:val="00D04955"/>
    <w:rsid w:val="00D42394"/>
    <w:rsid w:val="00D4254E"/>
    <w:rsid w:val="00D47912"/>
    <w:rsid w:val="00D57652"/>
    <w:rsid w:val="00D57B2D"/>
    <w:rsid w:val="00D7563C"/>
    <w:rsid w:val="00D764AD"/>
    <w:rsid w:val="00D81D42"/>
    <w:rsid w:val="00DD7A68"/>
    <w:rsid w:val="00DE647F"/>
    <w:rsid w:val="00E10D5F"/>
    <w:rsid w:val="00E13C90"/>
    <w:rsid w:val="00E150D3"/>
    <w:rsid w:val="00E15227"/>
    <w:rsid w:val="00E218FA"/>
    <w:rsid w:val="00E3683F"/>
    <w:rsid w:val="00E43829"/>
    <w:rsid w:val="00E52E2A"/>
    <w:rsid w:val="00E52ECD"/>
    <w:rsid w:val="00E53EE1"/>
    <w:rsid w:val="00E566D7"/>
    <w:rsid w:val="00E73104"/>
    <w:rsid w:val="00E81D0E"/>
    <w:rsid w:val="00E94F3E"/>
    <w:rsid w:val="00EA154B"/>
    <w:rsid w:val="00EB36A4"/>
    <w:rsid w:val="00EC0AAD"/>
    <w:rsid w:val="00EC5210"/>
    <w:rsid w:val="00EC7294"/>
    <w:rsid w:val="00EC7DDA"/>
    <w:rsid w:val="00ED6044"/>
    <w:rsid w:val="00EE2091"/>
    <w:rsid w:val="00EF33BD"/>
    <w:rsid w:val="00EF3F95"/>
    <w:rsid w:val="00F029DA"/>
    <w:rsid w:val="00F1668A"/>
    <w:rsid w:val="00F168C2"/>
    <w:rsid w:val="00F20FF8"/>
    <w:rsid w:val="00F21A02"/>
    <w:rsid w:val="00F27314"/>
    <w:rsid w:val="00F3353C"/>
    <w:rsid w:val="00F3762D"/>
    <w:rsid w:val="00F401E2"/>
    <w:rsid w:val="00F47711"/>
    <w:rsid w:val="00F47A00"/>
    <w:rsid w:val="00F62082"/>
    <w:rsid w:val="00F72F0A"/>
    <w:rsid w:val="00FA23A5"/>
    <w:rsid w:val="00FA3216"/>
    <w:rsid w:val="00FA482F"/>
    <w:rsid w:val="00FC2AE8"/>
    <w:rsid w:val="00FD1543"/>
    <w:rsid w:val="00FD5DD1"/>
    <w:rsid w:val="0130E540"/>
    <w:rsid w:val="022D76A7"/>
    <w:rsid w:val="023C483B"/>
    <w:rsid w:val="0255732B"/>
    <w:rsid w:val="0266729C"/>
    <w:rsid w:val="03130231"/>
    <w:rsid w:val="036E85AD"/>
    <w:rsid w:val="04719E0F"/>
    <w:rsid w:val="04AA20CA"/>
    <w:rsid w:val="04CBDC8F"/>
    <w:rsid w:val="0506812E"/>
    <w:rsid w:val="0525F517"/>
    <w:rsid w:val="05BBC063"/>
    <w:rsid w:val="05ED77E3"/>
    <w:rsid w:val="069F3686"/>
    <w:rsid w:val="06B6677B"/>
    <w:rsid w:val="075A2898"/>
    <w:rsid w:val="07733D0B"/>
    <w:rsid w:val="0778A6FE"/>
    <w:rsid w:val="079E7B3A"/>
    <w:rsid w:val="07AA21FA"/>
    <w:rsid w:val="07F60020"/>
    <w:rsid w:val="08559D5B"/>
    <w:rsid w:val="08632BED"/>
    <w:rsid w:val="08C94216"/>
    <w:rsid w:val="0933756C"/>
    <w:rsid w:val="093A4B9B"/>
    <w:rsid w:val="097B819E"/>
    <w:rsid w:val="099EF075"/>
    <w:rsid w:val="09C4E5BB"/>
    <w:rsid w:val="09C76C7D"/>
    <w:rsid w:val="09EB4057"/>
    <w:rsid w:val="0A0EF9BF"/>
    <w:rsid w:val="0A74019C"/>
    <w:rsid w:val="0A7BF4F7"/>
    <w:rsid w:val="0A86573D"/>
    <w:rsid w:val="0B0C7846"/>
    <w:rsid w:val="0BE95066"/>
    <w:rsid w:val="0BFE40D0"/>
    <w:rsid w:val="0C06DC66"/>
    <w:rsid w:val="0C0ED6EB"/>
    <w:rsid w:val="0C32CDCD"/>
    <w:rsid w:val="0C5CB967"/>
    <w:rsid w:val="0C6A2B8B"/>
    <w:rsid w:val="0CC22E7C"/>
    <w:rsid w:val="0D53E956"/>
    <w:rsid w:val="0DAA1EC9"/>
    <w:rsid w:val="0DC39DCB"/>
    <w:rsid w:val="0DD9A41B"/>
    <w:rsid w:val="0DEA7162"/>
    <w:rsid w:val="0EA14154"/>
    <w:rsid w:val="0EAB7464"/>
    <w:rsid w:val="0EE6B8E0"/>
    <w:rsid w:val="0F20D5EB"/>
    <w:rsid w:val="0F5F4197"/>
    <w:rsid w:val="0F659AC7"/>
    <w:rsid w:val="0FBD65E6"/>
    <w:rsid w:val="0FBDA7B4"/>
    <w:rsid w:val="0FD12496"/>
    <w:rsid w:val="0FDCE1D3"/>
    <w:rsid w:val="109F6D56"/>
    <w:rsid w:val="10A0674A"/>
    <w:rsid w:val="10A0FCAF"/>
    <w:rsid w:val="11188A8B"/>
    <w:rsid w:val="111997D4"/>
    <w:rsid w:val="11467DCF"/>
    <w:rsid w:val="115B83C3"/>
    <w:rsid w:val="11842557"/>
    <w:rsid w:val="11A2961B"/>
    <w:rsid w:val="12E3B71E"/>
    <w:rsid w:val="133C73B8"/>
    <w:rsid w:val="1375ACBD"/>
    <w:rsid w:val="13D18366"/>
    <w:rsid w:val="140BBBDE"/>
    <w:rsid w:val="1472626E"/>
    <w:rsid w:val="149F8B66"/>
    <w:rsid w:val="14A9577C"/>
    <w:rsid w:val="16442E7D"/>
    <w:rsid w:val="16D39E0F"/>
    <w:rsid w:val="170B5D52"/>
    <w:rsid w:val="172F4928"/>
    <w:rsid w:val="173EFEA8"/>
    <w:rsid w:val="1781AF4E"/>
    <w:rsid w:val="17FC7F36"/>
    <w:rsid w:val="181869B8"/>
    <w:rsid w:val="18C6CEE9"/>
    <w:rsid w:val="18C99B0F"/>
    <w:rsid w:val="18D360F5"/>
    <w:rsid w:val="18EA677E"/>
    <w:rsid w:val="1989460F"/>
    <w:rsid w:val="19DDF61B"/>
    <w:rsid w:val="1A8E35F6"/>
    <w:rsid w:val="1ABBC74C"/>
    <w:rsid w:val="1AC6D85C"/>
    <w:rsid w:val="1B0F616B"/>
    <w:rsid w:val="1B49DBB8"/>
    <w:rsid w:val="1B4C0D7E"/>
    <w:rsid w:val="1B9522EB"/>
    <w:rsid w:val="1BA947ED"/>
    <w:rsid w:val="1BE5CB9F"/>
    <w:rsid w:val="1C05A082"/>
    <w:rsid w:val="1CEB1F8B"/>
    <w:rsid w:val="1D969A5B"/>
    <w:rsid w:val="1D9F520C"/>
    <w:rsid w:val="1DA1C877"/>
    <w:rsid w:val="1DBD54A6"/>
    <w:rsid w:val="1DD42A86"/>
    <w:rsid w:val="1E105258"/>
    <w:rsid w:val="1E19CCDE"/>
    <w:rsid w:val="1EFDC697"/>
    <w:rsid w:val="1F34D768"/>
    <w:rsid w:val="1F71BF86"/>
    <w:rsid w:val="1F991B7A"/>
    <w:rsid w:val="1F9F000B"/>
    <w:rsid w:val="1FA56160"/>
    <w:rsid w:val="1FB59D3F"/>
    <w:rsid w:val="1FED5C43"/>
    <w:rsid w:val="1FF46920"/>
    <w:rsid w:val="1FF81955"/>
    <w:rsid w:val="202241AD"/>
    <w:rsid w:val="2032A77F"/>
    <w:rsid w:val="2048B6DE"/>
    <w:rsid w:val="208F4629"/>
    <w:rsid w:val="210B3078"/>
    <w:rsid w:val="21372A18"/>
    <w:rsid w:val="2163F02D"/>
    <w:rsid w:val="21648F1F"/>
    <w:rsid w:val="2177AC8C"/>
    <w:rsid w:val="218F00CC"/>
    <w:rsid w:val="21F097BA"/>
    <w:rsid w:val="2200AB11"/>
    <w:rsid w:val="225068E2"/>
    <w:rsid w:val="22D68CAD"/>
    <w:rsid w:val="22DA5818"/>
    <w:rsid w:val="22FCDC82"/>
    <w:rsid w:val="2336149F"/>
    <w:rsid w:val="23BCB94B"/>
    <w:rsid w:val="245250B1"/>
    <w:rsid w:val="24A1C413"/>
    <w:rsid w:val="24C8704F"/>
    <w:rsid w:val="2542EDA6"/>
    <w:rsid w:val="2591234B"/>
    <w:rsid w:val="2591E2F5"/>
    <w:rsid w:val="25951CBE"/>
    <w:rsid w:val="25C05A23"/>
    <w:rsid w:val="2657B4A0"/>
    <w:rsid w:val="2714B250"/>
    <w:rsid w:val="2734A0B4"/>
    <w:rsid w:val="2787DA7F"/>
    <w:rsid w:val="28C64076"/>
    <w:rsid w:val="28D8478F"/>
    <w:rsid w:val="2905A4C6"/>
    <w:rsid w:val="2A791EB0"/>
    <w:rsid w:val="2ABCD782"/>
    <w:rsid w:val="2BA609FB"/>
    <w:rsid w:val="2C401990"/>
    <w:rsid w:val="2CDE37F8"/>
    <w:rsid w:val="2CE07109"/>
    <w:rsid w:val="2D040707"/>
    <w:rsid w:val="2D2F7AD2"/>
    <w:rsid w:val="2DB35477"/>
    <w:rsid w:val="2DF1E30B"/>
    <w:rsid w:val="2E5DB7DE"/>
    <w:rsid w:val="2E70DB36"/>
    <w:rsid w:val="2F253C4C"/>
    <w:rsid w:val="2F32FD9F"/>
    <w:rsid w:val="2F37EB26"/>
    <w:rsid w:val="2F751F34"/>
    <w:rsid w:val="2F85F5C8"/>
    <w:rsid w:val="2FB9DE94"/>
    <w:rsid w:val="2FD05B22"/>
    <w:rsid w:val="2FE65FB0"/>
    <w:rsid w:val="2FEEA641"/>
    <w:rsid w:val="30024CBB"/>
    <w:rsid w:val="30304F71"/>
    <w:rsid w:val="3035F2E8"/>
    <w:rsid w:val="307BECC8"/>
    <w:rsid w:val="309806A7"/>
    <w:rsid w:val="30A87C4C"/>
    <w:rsid w:val="3108BAE8"/>
    <w:rsid w:val="314EB1C5"/>
    <w:rsid w:val="31B94F02"/>
    <w:rsid w:val="31F458B4"/>
    <w:rsid w:val="320954B6"/>
    <w:rsid w:val="32848366"/>
    <w:rsid w:val="32D34AA4"/>
    <w:rsid w:val="332647D3"/>
    <w:rsid w:val="33985EF4"/>
    <w:rsid w:val="33CAD919"/>
    <w:rsid w:val="33EFFD91"/>
    <w:rsid w:val="341CC842"/>
    <w:rsid w:val="356C79B3"/>
    <w:rsid w:val="358E1768"/>
    <w:rsid w:val="35A162D9"/>
    <w:rsid w:val="3602C147"/>
    <w:rsid w:val="36669CE2"/>
    <w:rsid w:val="36864F17"/>
    <w:rsid w:val="36E3E507"/>
    <w:rsid w:val="3740D3A6"/>
    <w:rsid w:val="3766B316"/>
    <w:rsid w:val="39090D39"/>
    <w:rsid w:val="39BC5565"/>
    <w:rsid w:val="39DC766E"/>
    <w:rsid w:val="3A109D9A"/>
    <w:rsid w:val="3A784287"/>
    <w:rsid w:val="3AB452D3"/>
    <w:rsid w:val="3B1C93C7"/>
    <w:rsid w:val="3BBEF0DC"/>
    <w:rsid w:val="3BFC2FC5"/>
    <w:rsid w:val="3C08DFD1"/>
    <w:rsid w:val="3C1B9A6A"/>
    <w:rsid w:val="3CBA7E6D"/>
    <w:rsid w:val="3CC96EC4"/>
    <w:rsid w:val="3CF29404"/>
    <w:rsid w:val="3D216665"/>
    <w:rsid w:val="3DFA87BE"/>
    <w:rsid w:val="3ECD6B8A"/>
    <w:rsid w:val="3ECE4299"/>
    <w:rsid w:val="3ED6BE42"/>
    <w:rsid w:val="3F91D5AD"/>
    <w:rsid w:val="3FBCC625"/>
    <w:rsid w:val="3FCA8BCB"/>
    <w:rsid w:val="3FEA4E4A"/>
    <w:rsid w:val="3FFF6EBB"/>
    <w:rsid w:val="4027B19C"/>
    <w:rsid w:val="40A02546"/>
    <w:rsid w:val="40A80A0B"/>
    <w:rsid w:val="40D15F7D"/>
    <w:rsid w:val="40D34BC0"/>
    <w:rsid w:val="40E42E0D"/>
    <w:rsid w:val="40FE112D"/>
    <w:rsid w:val="4106D5B3"/>
    <w:rsid w:val="4147747E"/>
    <w:rsid w:val="4196BF89"/>
    <w:rsid w:val="4203E625"/>
    <w:rsid w:val="4236D95C"/>
    <w:rsid w:val="424D7B20"/>
    <w:rsid w:val="426DEFC4"/>
    <w:rsid w:val="428ABA36"/>
    <w:rsid w:val="42A85973"/>
    <w:rsid w:val="42E574FD"/>
    <w:rsid w:val="434C55F4"/>
    <w:rsid w:val="43624B4D"/>
    <w:rsid w:val="43EB81DB"/>
    <w:rsid w:val="43F82487"/>
    <w:rsid w:val="4475C2A0"/>
    <w:rsid w:val="44BCD689"/>
    <w:rsid w:val="44D577F4"/>
    <w:rsid w:val="4526AEFF"/>
    <w:rsid w:val="454D1989"/>
    <w:rsid w:val="4579FAF4"/>
    <w:rsid w:val="462F46DF"/>
    <w:rsid w:val="4645D48E"/>
    <w:rsid w:val="46BFD908"/>
    <w:rsid w:val="46F77B25"/>
    <w:rsid w:val="4718EC0B"/>
    <w:rsid w:val="4758BBF8"/>
    <w:rsid w:val="476AAB01"/>
    <w:rsid w:val="4779C7F4"/>
    <w:rsid w:val="47D5D6EE"/>
    <w:rsid w:val="47F334DA"/>
    <w:rsid w:val="47FC33A3"/>
    <w:rsid w:val="480ACAAE"/>
    <w:rsid w:val="483AE508"/>
    <w:rsid w:val="487A1639"/>
    <w:rsid w:val="487C5616"/>
    <w:rsid w:val="48D25AF5"/>
    <w:rsid w:val="48DEDC68"/>
    <w:rsid w:val="48E54C68"/>
    <w:rsid w:val="48FD05B0"/>
    <w:rsid w:val="49013C11"/>
    <w:rsid w:val="490C3B77"/>
    <w:rsid w:val="4A6B4F35"/>
    <w:rsid w:val="4ACDBFC0"/>
    <w:rsid w:val="4B45F767"/>
    <w:rsid w:val="4B467F1C"/>
    <w:rsid w:val="4B5D3FE9"/>
    <w:rsid w:val="4B6252D3"/>
    <w:rsid w:val="4B6BEAAB"/>
    <w:rsid w:val="4BB7C05A"/>
    <w:rsid w:val="4C492F6E"/>
    <w:rsid w:val="4C60AA60"/>
    <w:rsid w:val="4C6298F3"/>
    <w:rsid w:val="4C8E18C3"/>
    <w:rsid w:val="4D61710E"/>
    <w:rsid w:val="4DAAD328"/>
    <w:rsid w:val="4DFA5CBF"/>
    <w:rsid w:val="4E649BCC"/>
    <w:rsid w:val="4E763480"/>
    <w:rsid w:val="4EAA85A3"/>
    <w:rsid w:val="4EAB0B50"/>
    <w:rsid w:val="4EC6C19A"/>
    <w:rsid w:val="4F31841C"/>
    <w:rsid w:val="4F742FCD"/>
    <w:rsid w:val="4FB68B90"/>
    <w:rsid w:val="505A0181"/>
    <w:rsid w:val="50A67E61"/>
    <w:rsid w:val="50E6F127"/>
    <w:rsid w:val="514B2369"/>
    <w:rsid w:val="51B20CF8"/>
    <w:rsid w:val="5203CD2A"/>
    <w:rsid w:val="520BD2E7"/>
    <w:rsid w:val="52150CD3"/>
    <w:rsid w:val="52F5B64B"/>
    <w:rsid w:val="52FFFE32"/>
    <w:rsid w:val="53760725"/>
    <w:rsid w:val="539E1C99"/>
    <w:rsid w:val="53D86801"/>
    <w:rsid w:val="54259E72"/>
    <w:rsid w:val="55206306"/>
    <w:rsid w:val="554BB20D"/>
    <w:rsid w:val="55F0394D"/>
    <w:rsid w:val="56B27F9F"/>
    <w:rsid w:val="573771E5"/>
    <w:rsid w:val="577BD6A0"/>
    <w:rsid w:val="57CDD069"/>
    <w:rsid w:val="580551D1"/>
    <w:rsid w:val="58B9F094"/>
    <w:rsid w:val="590625A3"/>
    <w:rsid w:val="590A4315"/>
    <w:rsid w:val="59CFF35B"/>
    <w:rsid w:val="5A16AE5C"/>
    <w:rsid w:val="5A63A08A"/>
    <w:rsid w:val="5A6B1DCA"/>
    <w:rsid w:val="5A7EE759"/>
    <w:rsid w:val="5A824367"/>
    <w:rsid w:val="5AD46E8E"/>
    <w:rsid w:val="5AFCF23A"/>
    <w:rsid w:val="5BE89698"/>
    <w:rsid w:val="5C34CA99"/>
    <w:rsid w:val="5C5DEAFD"/>
    <w:rsid w:val="5C75A601"/>
    <w:rsid w:val="5C92D3F4"/>
    <w:rsid w:val="5CCF02AC"/>
    <w:rsid w:val="5D100ABB"/>
    <w:rsid w:val="5D19D627"/>
    <w:rsid w:val="5DA4FCC7"/>
    <w:rsid w:val="5DE0819D"/>
    <w:rsid w:val="5DE74353"/>
    <w:rsid w:val="5E31D9D7"/>
    <w:rsid w:val="5E6654B7"/>
    <w:rsid w:val="5E88FD49"/>
    <w:rsid w:val="5EBB88AA"/>
    <w:rsid w:val="5EBE3880"/>
    <w:rsid w:val="5EE8B5C8"/>
    <w:rsid w:val="5F0AB55E"/>
    <w:rsid w:val="5F7AB444"/>
    <w:rsid w:val="5F7DB2FF"/>
    <w:rsid w:val="5FAFE075"/>
    <w:rsid w:val="60631574"/>
    <w:rsid w:val="6095D4A5"/>
    <w:rsid w:val="60AE8D09"/>
    <w:rsid w:val="60EA1E22"/>
    <w:rsid w:val="61121A1F"/>
    <w:rsid w:val="614E8E6D"/>
    <w:rsid w:val="61AF85D0"/>
    <w:rsid w:val="61C31250"/>
    <w:rsid w:val="6217E5F6"/>
    <w:rsid w:val="626D55A9"/>
    <w:rsid w:val="62B3F2C0"/>
    <w:rsid w:val="62FEC5C0"/>
    <w:rsid w:val="632B545B"/>
    <w:rsid w:val="6356FB9A"/>
    <w:rsid w:val="63BB2631"/>
    <w:rsid w:val="63C57A48"/>
    <w:rsid w:val="64201E55"/>
    <w:rsid w:val="6451E14A"/>
    <w:rsid w:val="64661666"/>
    <w:rsid w:val="64E84D17"/>
    <w:rsid w:val="64F5146C"/>
    <w:rsid w:val="65296230"/>
    <w:rsid w:val="6557D9BD"/>
    <w:rsid w:val="662F3361"/>
    <w:rsid w:val="66584394"/>
    <w:rsid w:val="66923F86"/>
    <w:rsid w:val="66B1E1BB"/>
    <w:rsid w:val="68AAB638"/>
    <w:rsid w:val="68C37FAE"/>
    <w:rsid w:val="68CC48A5"/>
    <w:rsid w:val="6907B669"/>
    <w:rsid w:val="690DB89D"/>
    <w:rsid w:val="691EB739"/>
    <w:rsid w:val="6956B19D"/>
    <w:rsid w:val="69B7A9E2"/>
    <w:rsid w:val="6A122B80"/>
    <w:rsid w:val="6A33397C"/>
    <w:rsid w:val="6A546C81"/>
    <w:rsid w:val="6ABC41BB"/>
    <w:rsid w:val="6AEA8628"/>
    <w:rsid w:val="6AEC3491"/>
    <w:rsid w:val="6B2AE8BC"/>
    <w:rsid w:val="6B3EC03D"/>
    <w:rsid w:val="6B6B470A"/>
    <w:rsid w:val="6B9DD35F"/>
    <w:rsid w:val="6BE48687"/>
    <w:rsid w:val="6BE5AD63"/>
    <w:rsid w:val="6C14483D"/>
    <w:rsid w:val="6C4EF314"/>
    <w:rsid w:val="6CF4D963"/>
    <w:rsid w:val="6D33E54D"/>
    <w:rsid w:val="6D36A64E"/>
    <w:rsid w:val="6D78A82B"/>
    <w:rsid w:val="6DA757DC"/>
    <w:rsid w:val="6DE9FDB6"/>
    <w:rsid w:val="6E13E918"/>
    <w:rsid w:val="6E3C627F"/>
    <w:rsid w:val="6E5583D0"/>
    <w:rsid w:val="6E933560"/>
    <w:rsid w:val="6ECC9F7C"/>
    <w:rsid w:val="6F550803"/>
    <w:rsid w:val="6F794D6B"/>
    <w:rsid w:val="6FC3ED71"/>
    <w:rsid w:val="6FFC204A"/>
    <w:rsid w:val="702AE3E5"/>
    <w:rsid w:val="702F17DA"/>
    <w:rsid w:val="70575CB1"/>
    <w:rsid w:val="707C53C5"/>
    <w:rsid w:val="70A53680"/>
    <w:rsid w:val="70C487E5"/>
    <w:rsid w:val="70CCAE60"/>
    <w:rsid w:val="70CDF7AA"/>
    <w:rsid w:val="70EECC05"/>
    <w:rsid w:val="719210E2"/>
    <w:rsid w:val="71AB83C0"/>
    <w:rsid w:val="71CD4E75"/>
    <w:rsid w:val="722499D6"/>
    <w:rsid w:val="729778C4"/>
    <w:rsid w:val="7338D3AC"/>
    <w:rsid w:val="73766D90"/>
    <w:rsid w:val="738C437D"/>
    <w:rsid w:val="739257A9"/>
    <w:rsid w:val="73B96A9A"/>
    <w:rsid w:val="7433BD8D"/>
    <w:rsid w:val="7442DB19"/>
    <w:rsid w:val="745176DE"/>
    <w:rsid w:val="747F2571"/>
    <w:rsid w:val="74EF533B"/>
    <w:rsid w:val="751657A2"/>
    <w:rsid w:val="7539E5E3"/>
    <w:rsid w:val="754EC7ED"/>
    <w:rsid w:val="7566C278"/>
    <w:rsid w:val="7629C451"/>
    <w:rsid w:val="76883C37"/>
    <w:rsid w:val="76B081F8"/>
    <w:rsid w:val="773A8E23"/>
    <w:rsid w:val="77491063"/>
    <w:rsid w:val="777011A3"/>
    <w:rsid w:val="77850A49"/>
    <w:rsid w:val="77861F7E"/>
    <w:rsid w:val="78230CEE"/>
    <w:rsid w:val="786DB4A3"/>
    <w:rsid w:val="78CDC2D7"/>
    <w:rsid w:val="78E48225"/>
    <w:rsid w:val="792A31A7"/>
    <w:rsid w:val="797F94CF"/>
    <w:rsid w:val="7A263190"/>
    <w:rsid w:val="7A5F76C4"/>
    <w:rsid w:val="7A6E2522"/>
    <w:rsid w:val="7A86933D"/>
    <w:rsid w:val="7AF879D3"/>
    <w:rsid w:val="7C2B6FD7"/>
    <w:rsid w:val="7CC06922"/>
    <w:rsid w:val="7CE11771"/>
    <w:rsid w:val="7D280736"/>
    <w:rsid w:val="7D54DC63"/>
    <w:rsid w:val="7E5DF59A"/>
    <w:rsid w:val="7EEE225D"/>
    <w:rsid w:val="7F2C804F"/>
    <w:rsid w:val="7F5C696C"/>
    <w:rsid w:val="7F90C012"/>
    <w:rsid w:val="7FB854A8"/>
    <w:rsid w:val="7FF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3F57266"/>
  <w15:chartTrackingRefBased/>
  <w15:docId w15:val="{FDEA367F-BDA7-4AF8-94A1-B0FA344EA2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E73104"/>
    <w:pPr>
      <w:keepNext/>
      <w:outlineLvl w:val="0"/>
    </w:pPr>
    <w:rPr>
      <w:b/>
      <w:bCs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A008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E94F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4F3E"/>
    <w:pPr>
      <w:tabs>
        <w:tab w:val="center" w:pos="4153"/>
        <w:tab w:val="right" w:pos="8306"/>
      </w:tabs>
    </w:pPr>
  </w:style>
  <w:style w:type="character" w:styleId="Strong">
    <w:name w:val="Strong"/>
    <w:qFormat/>
    <w:rsid w:val="00FC2AE8"/>
    <w:rPr>
      <w:b/>
      <w:bCs/>
    </w:rPr>
  </w:style>
  <w:style w:type="paragraph" w:styleId="Default" w:customStyle="1">
    <w:name w:val="Default"/>
    <w:rsid w:val="00A04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D4254E"/>
    <w:pPr>
      <w:spacing w:after="143"/>
    </w:pPr>
  </w:style>
  <w:style w:type="character" w:styleId="Hyperlink">
    <w:name w:val="Hyperlink"/>
    <w:rsid w:val="00F168C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81B7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81B70"/>
    <w:rPr>
      <w:rFonts w:ascii="Tahoma" w:hAnsi="Tahoma" w:cs="Tahoma"/>
      <w:sz w:val="16"/>
      <w:szCs w:val="16"/>
    </w:rPr>
  </w:style>
  <w:style w:type="character" w:styleId="Heading1Char" w:customStyle="1">
    <w:name w:val="Heading 1 Char"/>
    <w:link w:val="Heading1"/>
    <w:rsid w:val="00E73104"/>
    <w:rPr>
      <w:b/>
      <w:bCs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9E50BC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9E50BC"/>
  </w:style>
  <w:style w:type="character" w:styleId="EndnoteReference">
    <w:name w:val="endnote reference"/>
    <w:rsid w:val="009E50BC"/>
    <w:rPr>
      <w:vertAlign w:val="superscript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normaltextrun" w:customStyle="true">
    <w:uiPriority w:val="1"/>
    <w:name w:val="normaltextrun"/>
    <w:basedOn w:val="DefaultParagraphFont"/>
    <w:rsid w:val="48DEDC68"/>
  </w:style>
  <w:style w:type="character" w:styleId="eop" w:customStyle="true">
    <w:uiPriority w:val="1"/>
    <w:name w:val="eop"/>
    <w:basedOn w:val="DefaultParagraphFont"/>
    <w:rsid w:val="48DEDC68"/>
  </w:style>
  <w:style w:type="paragraph" w:styleId="paragraph" w:customStyle="true">
    <w:uiPriority w:val="1"/>
    <w:name w:val="paragraph"/>
    <w:basedOn w:val="Normal"/>
    <w:rsid w:val="48DEDC68"/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05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19239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91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676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997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932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6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footer" Target="footer.xml" Id="R643f76c306f24fe7" /><Relationship Type="http://schemas.microsoft.com/office/2020/10/relationships/intelligence" Target="intelligence2.xml" Id="Rb716556a00d94436" /><Relationship Type="http://schemas.openxmlformats.org/officeDocument/2006/relationships/image" Target="/media/image4.png" Id="Rb21f360f4af34dd7" /><Relationship Type="http://schemas.openxmlformats.org/officeDocument/2006/relationships/hyperlink" Target="https://www.medicines.org.uk/emc/product/1427/smpc" TargetMode="External" Id="Rac9e2270508f4365" /><Relationship Type="http://schemas.openxmlformats.org/officeDocument/2006/relationships/hyperlink" Target="https://bnf.nice.org.uk/drugs/vitamin-b-substances-with-ascorbic-acid/" TargetMode="External" Id="Rb9eca4091858409d" /><Relationship Type="http://schemas.openxmlformats.org/officeDocument/2006/relationships/hyperlink" Target="https://www.nice.org.uk/guidance/cg100" TargetMode="External" Id="Rc77aa8c998e5422f" /><Relationship Type="http://schemas.openxmlformats.org/officeDocument/2006/relationships/hyperlink" Target="https://www.nice.org.uk/guidance/cg32" TargetMode="External" Id="R1616ce285cda4013" /><Relationship Type="http://schemas.openxmlformats.org/officeDocument/2006/relationships/hyperlink" Target="https://www.sps.nhs.uk/articles/prescribing-thiamine-in-patients-at-risk-of-refeeding-syndrome/" TargetMode="External" Id="Rac4d1b4cb5a74d34" /><Relationship Type="http://schemas.openxmlformats.org/officeDocument/2006/relationships/hyperlink" Target="https://www.sps.nhs.uk/articles/using-and-prescribing-thiamine-in-alcohol-dependence/" TargetMode="External" Id="R01d14055059e45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9c7b14af0144037" /><Relationship Type="http://schemas.openxmlformats.org/officeDocument/2006/relationships/image" Target="/media/image3.png" Id="R623da333d73642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B01B87A96D542832A48D077F2431C" ma:contentTypeVersion="28" ma:contentTypeDescription="Create a new document." ma:contentTypeScope="" ma:versionID="64b0d65cc07b9d1bbcd25840981e2ee2">
  <xsd:schema xmlns:xsd="http://www.w3.org/2001/XMLSchema" xmlns:xs="http://www.w3.org/2001/XMLSchema" xmlns:p="http://schemas.microsoft.com/office/2006/metadata/properties" xmlns:ns1="http://schemas.microsoft.com/sharepoint/v3" xmlns:ns2="511ea6f6-7298-4770-9f04-cc88293943a0" xmlns:ns3="fb4fdde6-d413-46cb-b918-79e5e37b3b67" targetNamespace="http://schemas.microsoft.com/office/2006/metadata/properties" ma:root="true" ma:fieldsID="7a334b6fe990d45306cbaaf372e14178" ns1:_="" ns2:_="" ns3:_="">
    <xsd:import namespace="http://schemas.microsoft.com/sharepoint/v3"/>
    <xsd:import namespace="511ea6f6-7298-4770-9f04-cc88293943a0"/>
    <xsd:import namespace="fb4fdde6-d413-46cb-b918-79e5e37b3b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dlc_ExpireDateSaved" minOccurs="0"/>
                <xsd:element ref="ns1:_dlc_ExpireDate" minOccurs="0"/>
                <xsd:element ref="ns1:_dlc_Exempt" minOccurs="0"/>
                <xsd:element ref="ns3:JobNumber" minOccurs="0"/>
                <xsd:element ref="ns3:IDs" minOccurs="0"/>
                <xsd:element ref="ns3:IDs_x003a__x0020_ID" minOccurs="0"/>
                <xsd:element ref="ns3:ReferenceNo_x003a_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3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a6f6-7298-4770-9f04-cc88293943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d6cf175-2c0c-48e3-926f-b4ef58a8cc98}" ma:internalName="TaxCatchAll" ma:showField="CatchAllData" ma:web="511ea6f6-7298-4770-9f04-cc8829394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fdde6-d413-46cb-b918-79e5e37b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bNumber" ma:index="32" nillable="true" ma:displayName="Job Number" ma:format="Dropdown" ma:internalName="JobNumber">
      <xsd:simpleType>
        <xsd:restriction base="dms:Text">
          <xsd:maxLength value="255"/>
        </xsd:restriction>
      </xsd:simpleType>
    </xsd:element>
    <xsd:element name="IDs" ma:index="33" nillable="true" ma:displayName="IDs" ma:format="Dropdown" ma:list="df78b361-9a40-42cb-a671-75888ff7f5bc" ma:internalName="IDs" ma:showField="ID">
      <xsd:simpleType>
        <xsd:restriction base="dms:Lookup"/>
      </xsd:simpleType>
    </xsd:element>
    <xsd:element name="IDs_x003a__x0020_ID" ma:index="34" nillable="true" ma:displayName="IDs: ID" ma:format="Dropdown" ma:list="df78b361-9a40-42cb-a671-75888ff7f5bc" ma:internalName="IDs_x003a__x0020_ID" ma:readOnly="true" ma:showField="ID">
      <xsd:simpleType>
        <xsd:restriction base="dms:Lookup"/>
      </xsd:simpleType>
    </xsd:element>
    <xsd:element name="ReferenceNo_x003a_" ma:index="35" nillable="true" ma:displayName="Tracker Job No:" ma:format="Dropdown" ma:internalName="ReferenceNo_x003a_">
      <xsd:simpleType>
        <xsd:restriction base="dms:Text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Number xmlns="fb4fdde6-d413-46cb-b918-79e5e37b3b67" xsi:nil="true"/>
    <_ip_UnifiedCompliancePolicyProperties xmlns="http://schemas.microsoft.com/sharepoint/v3" xsi:nil="true"/>
    <_dlc_DocId xmlns="511ea6f6-7298-4770-9f04-cc88293943a0">KC4K5AZZU5J5-1018059544-391889</_dlc_DocId>
    <_ip_UnifiedCompliancePolicyUIAction xmlns="http://schemas.microsoft.com/sharepoint/v3" xsi:nil="true"/>
    <IDs xmlns="fb4fdde6-d413-46cb-b918-79e5e37b3b67" xsi:nil="true"/>
    <_dlc_DocIdUrl xmlns="511ea6f6-7298-4770-9f04-cc88293943a0">
      <Url>https://nhs.sharepoint.com/sites/RXK_Pharmacy/_layouts/15/DocIdRedir.aspx?ID=KC4K5AZZU5J5-1018059544-391889</Url>
      <Description>KC4K5AZZU5J5-1018059544-391889</Description>
    </_dlc_DocIdUrl>
    <TaxCatchAll xmlns="511ea6f6-7298-4770-9f04-cc88293943a0" xsi:nil="true"/>
    <lcf76f155ced4ddcb4097134ff3c332f xmlns="fb4fdde6-d413-46cb-b918-79e5e37b3b67">
      <Terms xmlns="http://schemas.microsoft.com/office/infopath/2007/PartnerControls"/>
    </lcf76f155ced4ddcb4097134ff3c332f>
    <ReferenceNo_x003a_ xmlns="fb4fdde6-d413-46cb-b918-79e5e37b3b67" xsi:nil="true"/>
    <SharedWithUsers xmlns="511ea6f6-7298-4770-9f04-cc88293943a0">
      <UserInfo>
        <DisplayName>NAWAZ, Mobeen (SANDWELL AND WEST BIRMINGHAM HOSPITALS NHS TRUST)</DisplayName>
        <AccountId>110</AccountId>
        <AccountType/>
      </UserInfo>
      <UserInfo>
        <DisplayName>LEE, Wingyee (SANDWELL AND WEST BIRMINGHAM HOSPITALS NHS TRUST)</DisplayName>
        <AccountId>157</AccountId>
        <AccountType/>
      </UserInfo>
    </SharedWithUsers>
    <_Flow_SignoffStatus xmlns="fb4fdde6-d413-46cb-b918-79e5e37b3b67" xsi:nil="true"/>
  </documentManagement>
</p:properties>
</file>

<file path=customXml/itemProps1.xml><?xml version="1.0" encoding="utf-8"?>
<ds:datastoreItem xmlns:ds="http://schemas.openxmlformats.org/officeDocument/2006/customXml" ds:itemID="{CFAAAB71-EE8E-45B2-BB6F-BDD4C0E10D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0B5D03-DD4A-4F82-94B8-1CA9698CE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1C5AD-854C-446A-AC01-3DACB055D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699B6-A8B4-48A7-AEE5-444CFDBA5C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5D8A49-1C7B-4AF1-93DB-004B4B63E406}"/>
</file>

<file path=customXml/itemProps6.xml><?xml version="1.0" encoding="utf-8"?>
<ds:datastoreItem xmlns:ds="http://schemas.openxmlformats.org/officeDocument/2006/customXml" ds:itemID="{E85F554D-AEAC-4E78-878D-175AE7E2FD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AHMED, Faraz (SANDWELL AND WEST BIRMINGHAM HOSPITALS NHS TRUST)</lastModifiedBy>
  <revision>29</revision>
  <dcterms:created xsi:type="dcterms:W3CDTF">2024-04-25T15:26:00.0000000Z</dcterms:created>
  <dcterms:modified xsi:type="dcterms:W3CDTF">2024-09-04T08:15:11.1580948Z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KC4K5AZZU5J5-1018059544-20239</vt:lpwstr>
  </property>
  <property fmtid="{D5CDD505-2E9C-101B-9397-08002B2CF9AE}" pid="3" name="_dlc_DocIdItemGuid">
    <vt:lpwstr>9023f6df-d4cf-4c38-a4f1-0e67e06083b2</vt:lpwstr>
  </property>
  <property fmtid="{D5CDD505-2E9C-101B-9397-08002B2CF9AE}" pid="4" name="_dlc_DocIdUrl">
    <vt:lpwstr>https://nhs.sharepoint.com/sites/RXK_Pharmacy/_layouts/15/DocIdRedir.aspx?ID=KC4K5AZZU5J5-1018059544-20239, KC4K5AZZU5J5-1018059544-20239</vt:lpwstr>
  </property>
  <property fmtid="{D5CDD505-2E9C-101B-9397-08002B2CF9AE}" pid="5" name="_ip_UnifiedCompliancePolicyUIAction">
    <vt:lpwstr/>
  </property>
  <property fmtid="{D5CDD505-2E9C-101B-9397-08002B2CF9AE}" pid="6" name="TaxCatchAll">
    <vt:lpwstr/>
  </property>
  <property fmtid="{D5CDD505-2E9C-101B-9397-08002B2CF9AE}" pid="7" name="_ip_UnifiedCompliancePolicyProperties">
    <vt:lpwstr/>
  </property>
  <property fmtid="{D5CDD505-2E9C-101B-9397-08002B2CF9AE}" pid="8" name="lcf76f155ced4ddcb4097134ff3c332f">
    <vt:lpwstr/>
  </property>
  <property fmtid="{D5CDD505-2E9C-101B-9397-08002B2CF9AE}" pid="9" name="ItemRetentionFormula">
    <vt:lpwstr/>
  </property>
  <property fmtid="{D5CDD505-2E9C-101B-9397-08002B2CF9AE}" pid="10" name="_dlc_policyId">
    <vt:lpwstr/>
  </property>
  <property fmtid="{D5CDD505-2E9C-101B-9397-08002B2CF9AE}" pid="11" name="display_urn:schemas-microsoft-com:office:office#SharedWithUsers">
    <vt:lpwstr>NAWAZ, Mobeen (SANDWELL AND WEST BIRMINGHAM HOSPITALS NHS TRUST);LEE, Wingyee (SANDWELL AND WEST BIRMINGHAM HOSPITALS NHS TRUST)</vt:lpwstr>
  </property>
  <property fmtid="{D5CDD505-2E9C-101B-9397-08002B2CF9AE}" pid="12" name="SharedWithUsers">
    <vt:lpwstr>110;#NAWAZ, Mobeen (SANDWELL AND WEST BIRMINGHAM HOSPITALS NHS TRUST);#157;#LEE, Wingyee (SANDWELL AND WEST BIRMINGHAM HOSPITALS NHS TRUST)</vt:lpwstr>
  </property>
  <property fmtid="{D5CDD505-2E9C-101B-9397-08002B2CF9AE}" pid="13" name="JobNumber">
    <vt:lpwstr/>
  </property>
  <property fmtid="{D5CDD505-2E9C-101B-9397-08002B2CF9AE}" pid="14" name="IDs">
    <vt:lpwstr/>
  </property>
  <property fmtid="{D5CDD505-2E9C-101B-9397-08002B2CF9AE}" pid="15" name="ReferenceNo:">
    <vt:lpwstr/>
  </property>
  <property fmtid="{D5CDD505-2E9C-101B-9397-08002B2CF9AE}" pid="16" name="ContentTypeId">
    <vt:lpwstr>0x010100493B01B87A96D542832A48D077F2431C</vt:lpwstr>
  </property>
  <property fmtid="{D5CDD505-2E9C-101B-9397-08002B2CF9AE}" pid="17" name="MediaServiceImageTags">
    <vt:lpwstr/>
  </property>
</Properties>
</file>