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A196" w14:textId="296E7DEB" w:rsidR="00CD506D" w:rsidRPr="00506958" w:rsidRDefault="00E8534F" w:rsidP="000630CA">
      <w:pPr>
        <w:pStyle w:val="NoSpacing"/>
        <w:numPr>
          <w:ilvl w:val="0"/>
          <w:numId w:val="7"/>
        </w:numPr>
        <w:rPr>
          <w:b/>
          <w:color w:val="FF0000"/>
          <w:sz w:val="24"/>
          <w:szCs w:val="24"/>
        </w:rPr>
      </w:pPr>
      <w:r w:rsidRPr="00506958">
        <w:rPr>
          <w:b/>
          <w:color w:val="FF0000"/>
          <w:sz w:val="24"/>
          <w:szCs w:val="24"/>
        </w:rPr>
        <w:t>Overview Table</w:t>
      </w:r>
      <w:r w:rsidR="00A67C31" w:rsidRPr="00506958">
        <w:rPr>
          <w:b/>
          <w:color w:val="FF0000"/>
          <w:sz w:val="24"/>
          <w:szCs w:val="24"/>
        </w:rPr>
        <w:t xml:space="preserve">: </w:t>
      </w:r>
    </w:p>
    <w:p w14:paraId="3B4A5D9F" w14:textId="53B1E3F0" w:rsidR="00CD506D" w:rsidRDefault="00A67C31" w:rsidP="000630CA">
      <w:pPr>
        <w:pStyle w:val="NoSpacing"/>
      </w:pPr>
      <w:r w:rsidRPr="000630CA">
        <w:t xml:space="preserve">When considering actions needed when testing for </w:t>
      </w:r>
      <w:r w:rsidR="003D042E" w:rsidRPr="000630CA">
        <w:t>C</w:t>
      </w:r>
      <w:r w:rsidRPr="000630CA">
        <w:t>ovid</w:t>
      </w:r>
      <w:r w:rsidR="003D042E" w:rsidRPr="000630CA">
        <w:t>-19</w:t>
      </w:r>
      <w:r w:rsidRPr="000630CA">
        <w:t xml:space="preserve"> in staff members, </w:t>
      </w:r>
      <w:r w:rsidR="003D042E" w:rsidRPr="000630CA">
        <w:t xml:space="preserve">the </w:t>
      </w:r>
      <w:r w:rsidRPr="000630CA">
        <w:t xml:space="preserve">presence or absence of </w:t>
      </w:r>
      <w:r w:rsidR="00A611F2" w:rsidRPr="000630CA">
        <w:t xml:space="preserve">COVID-19 </w:t>
      </w:r>
      <w:r w:rsidRPr="000630CA">
        <w:t xml:space="preserve">symptoms, </w:t>
      </w:r>
      <w:r w:rsidR="003D042E" w:rsidRPr="000630CA">
        <w:t xml:space="preserve">the </w:t>
      </w:r>
      <w:r w:rsidRPr="000630CA">
        <w:t>outcome of</w:t>
      </w:r>
      <w:r w:rsidR="003F6DA3" w:rsidRPr="000630CA">
        <w:t xml:space="preserve"> later</w:t>
      </w:r>
      <w:r w:rsidR="003D042E" w:rsidRPr="000630CA">
        <w:t>al</w:t>
      </w:r>
      <w:r w:rsidR="003F6DA3" w:rsidRPr="000630CA">
        <w:t xml:space="preserve"> flow tests (</w:t>
      </w:r>
      <w:r w:rsidRPr="000630CA">
        <w:t>LFT</w:t>
      </w:r>
      <w:r w:rsidR="00923B8E" w:rsidRPr="000630CA">
        <w:t xml:space="preserve">s) </w:t>
      </w:r>
      <w:proofErr w:type="gramStart"/>
      <w:r w:rsidRPr="000630CA">
        <w:t>need</w:t>
      </w:r>
      <w:proofErr w:type="gramEnd"/>
      <w:r w:rsidRPr="000630CA">
        <w:t xml:space="preserve"> to be considered. Please follow the sequence in </w:t>
      </w:r>
      <w:r w:rsidR="003F6DA3" w:rsidRPr="000630CA">
        <w:t xml:space="preserve">the </w:t>
      </w:r>
      <w:r w:rsidRPr="000630CA">
        <w:t xml:space="preserve">table below which is an overview of the current process and outcomes from testing. </w:t>
      </w:r>
    </w:p>
    <w:p w14:paraId="1D49F1DA" w14:textId="77777777" w:rsidR="000630CA" w:rsidRPr="000630CA" w:rsidRDefault="000630CA" w:rsidP="000630CA">
      <w:pPr>
        <w:pStyle w:val="NoSpacing"/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407"/>
        <w:gridCol w:w="976"/>
        <w:gridCol w:w="1673"/>
        <w:gridCol w:w="6835"/>
      </w:tblGrid>
      <w:tr w:rsidR="00446830" w:rsidRPr="00E8534F" w14:paraId="78080AB1" w14:textId="77777777" w:rsidTr="00731F6A">
        <w:trPr>
          <w:trHeight w:val="315"/>
        </w:trPr>
        <w:tc>
          <w:tcPr>
            <w:tcW w:w="5407" w:type="dxa"/>
          </w:tcPr>
          <w:p w14:paraId="2EF6801E" w14:textId="77777777" w:rsidR="00446830" w:rsidRPr="000630CA" w:rsidRDefault="00446830" w:rsidP="00E8534F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</w:rPr>
              <w:t>Covid Symptoms</w:t>
            </w:r>
          </w:p>
        </w:tc>
        <w:tc>
          <w:tcPr>
            <w:tcW w:w="976" w:type="dxa"/>
          </w:tcPr>
          <w:p w14:paraId="419DD331" w14:textId="77777777" w:rsidR="00446830" w:rsidRPr="000630CA" w:rsidRDefault="00446830" w:rsidP="00E8534F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</w:rPr>
              <w:t>LFT result</w:t>
            </w:r>
          </w:p>
        </w:tc>
        <w:tc>
          <w:tcPr>
            <w:tcW w:w="1673" w:type="dxa"/>
          </w:tcPr>
          <w:p w14:paraId="696FA65B" w14:textId="77777777" w:rsidR="00446830" w:rsidRPr="000630CA" w:rsidRDefault="00446830" w:rsidP="00E8534F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</w:rPr>
              <w:t>Vaccination status</w:t>
            </w:r>
          </w:p>
        </w:tc>
        <w:tc>
          <w:tcPr>
            <w:tcW w:w="6835" w:type="dxa"/>
          </w:tcPr>
          <w:p w14:paraId="7B4DF049" w14:textId="77777777" w:rsidR="00446830" w:rsidRPr="000630CA" w:rsidRDefault="00446830" w:rsidP="00E8534F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</w:rPr>
              <w:t>Action</w:t>
            </w:r>
          </w:p>
        </w:tc>
      </w:tr>
      <w:tr w:rsidR="00241817" w:rsidRPr="00E8534F" w14:paraId="41AE5F40" w14:textId="77777777" w:rsidTr="00731F6A">
        <w:trPr>
          <w:trHeight w:val="328"/>
        </w:trPr>
        <w:tc>
          <w:tcPr>
            <w:tcW w:w="5407" w:type="dxa"/>
            <w:vMerge w:val="restart"/>
          </w:tcPr>
          <w:p w14:paraId="678F10F9" w14:textId="77777777" w:rsidR="00241817" w:rsidRPr="000630CA" w:rsidRDefault="00241817" w:rsidP="00E8534F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</w:rPr>
              <w:t>Symptomatic, with or without known contact</w:t>
            </w:r>
          </w:p>
          <w:p w14:paraId="768B1737" w14:textId="6F018562" w:rsidR="00241817" w:rsidRPr="000630CA" w:rsidRDefault="00241817" w:rsidP="006E5BEA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  <w:color w:val="FF0000"/>
              </w:rPr>
              <w:t>See section 2 for further instructions</w:t>
            </w:r>
          </w:p>
        </w:tc>
        <w:tc>
          <w:tcPr>
            <w:tcW w:w="976" w:type="dxa"/>
            <w:vAlign w:val="center"/>
          </w:tcPr>
          <w:p w14:paraId="5106955C" w14:textId="77777777" w:rsidR="00241817" w:rsidRPr="000630CA" w:rsidRDefault="00241817" w:rsidP="00E8534F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+ve</w:t>
            </w:r>
          </w:p>
        </w:tc>
        <w:tc>
          <w:tcPr>
            <w:tcW w:w="1673" w:type="dxa"/>
            <w:vMerge w:val="restart"/>
            <w:vAlign w:val="center"/>
          </w:tcPr>
          <w:p w14:paraId="10246D5B" w14:textId="77777777" w:rsidR="00241817" w:rsidRPr="000630CA" w:rsidRDefault="00241817" w:rsidP="00A611F2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Any</w:t>
            </w:r>
          </w:p>
        </w:tc>
        <w:tc>
          <w:tcPr>
            <w:tcW w:w="6835" w:type="dxa"/>
          </w:tcPr>
          <w:p w14:paraId="6083F72D" w14:textId="32AFD491" w:rsidR="00241817" w:rsidRPr="000630CA" w:rsidRDefault="00241817" w:rsidP="00E8534F">
            <w:pPr>
              <w:rPr>
                <w:rFonts w:cstheme="minorHAnsi"/>
              </w:rPr>
            </w:pPr>
            <w:r>
              <w:rPr>
                <w:rFonts w:cstheme="minorHAnsi"/>
              </w:rPr>
              <w:t>Isolate</w:t>
            </w:r>
          </w:p>
        </w:tc>
      </w:tr>
      <w:tr w:rsidR="00241817" w:rsidRPr="00E8534F" w14:paraId="1BBC9D75" w14:textId="77777777" w:rsidTr="00731F6A">
        <w:trPr>
          <w:trHeight w:val="332"/>
        </w:trPr>
        <w:tc>
          <w:tcPr>
            <w:tcW w:w="5407" w:type="dxa"/>
            <w:vMerge/>
          </w:tcPr>
          <w:p w14:paraId="0910E13F" w14:textId="77777777" w:rsidR="00241817" w:rsidRPr="000630CA" w:rsidRDefault="00241817" w:rsidP="00E8534F">
            <w:pPr>
              <w:rPr>
                <w:rFonts w:cstheme="minorHAnsi"/>
                <w:b/>
              </w:rPr>
            </w:pPr>
          </w:p>
        </w:tc>
        <w:tc>
          <w:tcPr>
            <w:tcW w:w="976" w:type="dxa"/>
            <w:vAlign w:val="center"/>
          </w:tcPr>
          <w:p w14:paraId="679DD24D" w14:textId="77777777" w:rsidR="00241817" w:rsidRPr="000630CA" w:rsidRDefault="00241817" w:rsidP="00E8534F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-ve</w:t>
            </w:r>
          </w:p>
        </w:tc>
        <w:tc>
          <w:tcPr>
            <w:tcW w:w="1673" w:type="dxa"/>
            <w:vMerge/>
          </w:tcPr>
          <w:p w14:paraId="204603DF" w14:textId="77777777" w:rsidR="00241817" w:rsidRPr="000630CA" w:rsidRDefault="00241817" w:rsidP="00E8534F">
            <w:pPr>
              <w:rPr>
                <w:rFonts w:cstheme="minorHAnsi"/>
              </w:rPr>
            </w:pPr>
          </w:p>
        </w:tc>
        <w:tc>
          <w:tcPr>
            <w:tcW w:w="6835" w:type="dxa"/>
          </w:tcPr>
          <w:p w14:paraId="0C55F417" w14:textId="77777777" w:rsidR="00241817" w:rsidRDefault="00241817" w:rsidP="00E8534F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Return to work if clinically well</w:t>
            </w:r>
          </w:p>
          <w:p w14:paraId="390F51A9" w14:textId="5881C2A3" w:rsidR="00241817" w:rsidRPr="000630CA" w:rsidRDefault="00241817" w:rsidP="00E8534F">
            <w:pPr>
              <w:rPr>
                <w:rFonts w:cstheme="minorHAnsi"/>
              </w:rPr>
            </w:pPr>
            <w:r>
              <w:rPr>
                <w:rFonts w:cstheme="minorHAnsi"/>
              </w:rPr>
              <w:t>(Wearing a Surgical mask until resolution of symptoms)</w:t>
            </w:r>
          </w:p>
        </w:tc>
      </w:tr>
      <w:tr w:rsidR="00446830" w:rsidRPr="00E8534F" w14:paraId="5ECCD99A" w14:textId="77777777" w:rsidTr="00731F6A">
        <w:trPr>
          <w:trHeight w:val="161"/>
        </w:trPr>
        <w:tc>
          <w:tcPr>
            <w:tcW w:w="5407" w:type="dxa"/>
            <w:shd w:val="clear" w:color="auto" w:fill="D9D9D9" w:themeFill="background1" w:themeFillShade="D9"/>
          </w:tcPr>
          <w:p w14:paraId="29A36406" w14:textId="77777777" w:rsidR="00446830" w:rsidRPr="000630CA" w:rsidRDefault="00446830" w:rsidP="00E8534F">
            <w:pPr>
              <w:rPr>
                <w:rFonts w:cstheme="minorHAnsi"/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C40FD76" w14:textId="77777777" w:rsidR="00446830" w:rsidRPr="000630CA" w:rsidRDefault="00446830" w:rsidP="00E8534F">
            <w:pPr>
              <w:rPr>
                <w:rFonts w:cstheme="minorHAnsi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14:paraId="50A574C9" w14:textId="77777777" w:rsidR="00446830" w:rsidRPr="000630CA" w:rsidRDefault="00446830" w:rsidP="00E8534F">
            <w:pPr>
              <w:rPr>
                <w:rFonts w:cstheme="minorHAnsi"/>
              </w:rPr>
            </w:pPr>
          </w:p>
        </w:tc>
        <w:tc>
          <w:tcPr>
            <w:tcW w:w="6835" w:type="dxa"/>
            <w:shd w:val="clear" w:color="auto" w:fill="D9D9D9" w:themeFill="background1" w:themeFillShade="D9"/>
          </w:tcPr>
          <w:p w14:paraId="767E1A88" w14:textId="77777777" w:rsidR="00446830" w:rsidRPr="000630CA" w:rsidRDefault="00446830" w:rsidP="00E8534F">
            <w:pPr>
              <w:rPr>
                <w:rFonts w:cstheme="minorHAnsi"/>
              </w:rPr>
            </w:pPr>
          </w:p>
        </w:tc>
      </w:tr>
      <w:tr w:rsidR="001C074C" w:rsidRPr="00E8534F" w14:paraId="1D4725F2" w14:textId="77777777" w:rsidTr="00F3032D">
        <w:trPr>
          <w:trHeight w:val="635"/>
        </w:trPr>
        <w:tc>
          <w:tcPr>
            <w:tcW w:w="5407" w:type="dxa"/>
            <w:vMerge w:val="restart"/>
          </w:tcPr>
          <w:p w14:paraId="73C4CF12" w14:textId="77777777" w:rsidR="001C074C" w:rsidRPr="000630CA" w:rsidRDefault="001C074C" w:rsidP="00E8534F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</w:rPr>
              <w:t xml:space="preserve">Asymptomatic, with known contact – household or social </w:t>
            </w:r>
          </w:p>
          <w:p w14:paraId="6048D57B" w14:textId="1040CB7C" w:rsidR="001C074C" w:rsidRPr="000630CA" w:rsidRDefault="001C074C" w:rsidP="00E8534F">
            <w:pPr>
              <w:rPr>
                <w:rFonts w:cstheme="minorHAnsi"/>
                <w:b/>
              </w:rPr>
            </w:pPr>
            <w:r w:rsidRPr="000630CA">
              <w:rPr>
                <w:rFonts w:cstheme="minorHAnsi"/>
                <w:b/>
                <w:color w:val="FF0000"/>
              </w:rPr>
              <w:t xml:space="preserve">See section 2 for further instructions for lateral flow </w:t>
            </w:r>
          </w:p>
        </w:tc>
        <w:tc>
          <w:tcPr>
            <w:tcW w:w="976" w:type="dxa"/>
            <w:vAlign w:val="center"/>
          </w:tcPr>
          <w:p w14:paraId="6532B7E8" w14:textId="77777777" w:rsidR="001C074C" w:rsidRPr="000630CA" w:rsidRDefault="001C074C" w:rsidP="00E8534F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+ve</w:t>
            </w:r>
          </w:p>
        </w:tc>
        <w:tc>
          <w:tcPr>
            <w:tcW w:w="1673" w:type="dxa"/>
            <w:vMerge w:val="restart"/>
          </w:tcPr>
          <w:p w14:paraId="46ECB778" w14:textId="77777777" w:rsidR="001C074C" w:rsidRPr="000630CA" w:rsidRDefault="001C074C" w:rsidP="00E8534F">
            <w:pPr>
              <w:rPr>
                <w:rFonts w:cstheme="minorHAnsi"/>
              </w:rPr>
            </w:pPr>
          </w:p>
          <w:p w14:paraId="02983E83" w14:textId="77777777" w:rsidR="001C074C" w:rsidRPr="000630CA" w:rsidRDefault="001C074C" w:rsidP="00E8534F">
            <w:pPr>
              <w:rPr>
                <w:rFonts w:cstheme="minorHAnsi"/>
              </w:rPr>
            </w:pPr>
          </w:p>
          <w:p w14:paraId="7F8D0017" w14:textId="02474114" w:rsidR="001C074C" w:rsidRPr="000630CA" w:rsidRDefault="001C074C" w:rsidP="00E8534F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Any</w:t>
            </w:r>
          </w:p>
        </w:tc>
        <w:tc>
          <w:tcPr>
            <w:tcW w:w="6835" w:type="dxa"/>
          </w:tcPr>
          <w:p w14:paraId="5F496226" w14:textId="77777777" w:rsidR="001C074C" w:rsidRPr="000630CA" w:rsidRDefault="001C074C" w:rsidP="00E8534F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Isolate</w:t>
            </w:r>
          </w:p>
        </w:tc>
      </w:tr>
      <w:tr w:rsidR="00F3032D" w:rsidRPr="00E8534F" w14:paraId="6F530FE1" w14:textId="77777777" w:rsidTr="00F3032D">
        <w:trPr>
          <w:trHeight w:val="573"/>
        </w:trPr>
        <w:tc>
          <w:tcPr>
            <w:tcW w:w="5407" w:type="dxa"/>
            <w:vMerge/>
          </w:tcPr>
          <w:p w14:paraId="686F23D5" w14:textId="77777777" w:rsidR="00F3032D" w:rsidRPr="000630CA" w:rsidRDefault="00F3032D" w:rsidP="00E8534F">
            <w:pPr>
              <w:rPr>
                <w:rFonts w:cstheme="minorHAnsi"/>
                <w:b/>
              </w:rPr>
            </w:pPr>
          </w:p>
        </w:tc>
        <w:tc>
          <w:tcPr>
            <w:tcW w:w="976" w:type="dxa"/>
            <w:vAlign w:val="center"/>
          </w:tcPr>
          <w:p w14:paraId="0ABE7F25" w14:textId="77777777" w:rsidR="00F3032D" w:rsidRPr="000630CA" w:rsidRDefault="00F3032D" w:rsidP="00E8534F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-ve</w:t>
            </w:r>
          </w:p>
        </w:tc>
        <w:tc>
          <w:tcPr>
            <w:tcW w:w="1673" w:type="dxa"/>
            <w:vMerge/>
          </w:tcPr>
          <w:p w14:paraId="799B8E93" w14:textId="70C87079" w:rsidR="00F3032D" w:rsidRPr="000630CA" w:rsidRDefault="00F3032D" w:rsidP="00E8534F">
            <w:pPr>
              <w:rPr>
                <w:rFonts w:cstheme="minorHAnsi"/>
              </w:rPr>
            </w:pPr>
          </w:p>
        </w:tc>
        <w:tc>
          <w:tcPr>
            <w:tcW w:w="6835" w:type="dxa"/>
          </w:tcPr>
          <w:p w14:paraId="2AF85E38" w14:textId="77777777" w:rsidR="00F3032D" w:rsidRDefault="00F3032D" w:rsidP="00923B8E">
            <w:pPr>
              <w:rPr>
                <w:rFonts w:cstheme="minorHAnsi"/>
              </w:rPr>
            </w:pPr>
            <w:r w:rsidRPr="000630CA">
              <w:rPr>
                <w:rFonts w:cstheme="minorHAnsi"/>
              </w:rPr>
              <w:t>Return to work</w:t>
            </w:r>
          </w:p>
          <w:p w14:paraId="5FB9A09A" w14:textId="5074D2C2" w:rsidR="00F3032D" w:rsidRPr="000630CA" w:rsidRDefault="00F3032D" w:rsidP="00923B8E">
            <w:pPr>
              <w:rPr>
                <w:rFonts w:cstheme="minorHAnsi"/>
              </w:rPr>
            </w:pPr>
          </w:p>
        </w:tc>
      </w:tr>
    </w:tbl>
    <w:p w14:paraId="55169BE7" w14:textId="00E8BBAE" w:rsidR="000630CA" w:rsidRPr="00731F6A" w:rsidRDefault="000630CA" w:rsidP="000630CA">
      <w:pPr>
        <w:pStyle w:val="ListParagraph"/>
        <w:spacing w:line="240" w:lineRule="auto"/>
        <w:ind w:left="360"/>
        <w:rPr>
          <w:rFonts w:ascii="Calibri" w:hAnsi="Calibri" w:cs="Calibri"/>
          <w:color w:val="FF0000"/>
          <w:sz w:val="8"/>
          <w:szCs w:val="8"/>
        </w:rPr>
      </w:pPr>
    </w:p>
    <w:p w14:paraId="0BF74B4D" w14:textId="2966414D" w:rsidR="000630CA" w:rsidRPr="000630CA" w:rsidRDefault="000630CA" w:rsidP="000630CA">
      <w:pPr>
        <w:pStyle w:val="NoSpacing"/>
        <w:numPr>
          <w:ilvl w:val="0"/>
          <w:numId w:val="7"/>
        </w:numPr>
        <w:rPr>
          <w:b/>
          <w:color w:val="FF0000"/>
          <w:sz w:val="24"/>
        </w:rPr>
      </w:pPr>
      <w:r w:rsidRPr="000630CA">
        <w:rPr>
          <w:b/>
          <w:color w:val="FF0000"/>
          <w:sz w:val="24"/>
        </w:rPr>
        <w:t>COVID-</w:t>
      </w:r>
      <w:proofErr w:type="gramStart"/>
      <w:r w:rsidRPr="000630CA">
        <w:rPr>
          <w:b/>
          <w:color w:val="FF0000"/>
          <w:sz w:val="24"/>
        </w:rPr>
        <w:t>19  positive</w:t>
      </w:r>
      <w:proofErr w:type="gramEnd"/>
      <w:r w:rsidR="00A611F2" w:rsidRPr="000630CA">
        <w:rPr>
          <w:b/>
          <w:color w:val="FF0000"/>
          <w:sz w:val="24"/>
        </w:rPr>
        <w:t xml:space="preserve"> s</w:t>
      </w:r>
      <w:r w:rsidR="00E8534F" w:rsidRPr="000630CA">
        <w:rPr>
          <w:b/>
          <w:color w:val="FF0000"/>
          <w:sz w:val="24"/>
        </w:rPr>
        <w:t xml:space="preserve">taff </w:t>
      </w:r>
    </w:p>
    <w:p w14:paraId="65538922" w14:textId="22004121" w:rsidR="009447FA" w:rsidRDefault="00CD506D" w:rsidP="000630CA">
      <w:pPr>
        <w:pStyle w:val="NoSpacing"/>
      </w:pPr>
      <w:r w:rsidRPr="000630CA">
        <w:t>Day 1</w:t>
      </w:r>
      <w:r w:rsidR="00E8534F" w:rsidRPr="000630CA">
        <w:t xml:space="preserve"> of isolation is the day </w:t>
      </w:r>
      <w:r w:rsidR="00FD560F" w:rsidRPr="000630CA">
        <w:t xml:space="preserve">after </w:t>
      </w:r>
      <w:r w:rsidR="00E8534F" w:rsidRPr="000630CA">
        <w:t xml:space="preserve">the staff member has developed symptoms, or if </w:t>
      </w:r>
      <w:r w:rsidRPr="000630CA">
        <w:t>asymptomatic the</w:t>
      </w:r>
      <w:r w:rsidR="00FD560F" w:rsidRPr="000630CA">
        <w:t xml:space="preserve"> </w:t>
      </w:r>
      <w:r w:rsidR="00A611F2" w:rsidRPr="000630CA">
        <w:t xml:space="preserve">date the </w:t>
      </w:r>
      <w:r w:rsidR="00D0374D" w:rsidRPr="000630CA">
        <w:t xml:space="preserve">positive </w:t>
      </w:r>
      <w:r w:rsidR="00E8534F" w:rsidRPr="000630CA">
        <w:t>LFT/</w:t>
      </w:r>
      <w:r w:rsidRPr="000630CA">
        <w:t>PCR test</w:t>
      </w:r>
      <w:r w:rsidR="00FD560F" w:rsidRPr="000630CA">
        <w:t xml:space="preserve"> was taken</w:t>
      </w:r>
      <w:r w:rsidR="00A611F2" w:rsidRPr="000630CA">
        <w:t>,</w:t>
      </w:r>
      <w:r w:rsidR="00FD560F" w:rsidRPr="000630CA">
        <w:t xml:space="preserve"> </w:t>
      </w:r>
      <w:r w:rsidR="00E8534F" w:rsidRPr="000630CA">
        <w:t>whichever is earlier</w:t>
      </w:r>
      <w:r w:rsidR="00A611F2" w:rsidRPr="000630CA">
        <w:t>.</w:t>
      </w:r>
    </w:p>
    <w:p w14:paraId="79CF5517" w14:textId="77777777" w:rsidR="000630CA" w:rsidRPr="000630CA" w:rsidRDefault="000630CA" w:rsidP="000630CA">
      <w:pPr>
        <w:pStyle w:val="NoSpacing"/>
      </w:pPr>
    </w:p>
    <w:p w14:paraId="50C0D0BE" w14:textId="5F56C87F" w:rsidR="00593C18" w:rsidRPr="00D55864" w:rsidRDefault="00A611F2" w:rsidP="000630CA">
      <w:pPr>
        <w:pStyle w:val="NoSpacing"/>
        <w:rPr>
          <w:color w:val="333333"/>
        </w:rPr>
      </w:pPr>
      <w:r w:rsidRPr="00D55864">
        <w:rPr>
          <w:bCs/>
          <w:color w:val="333333"/>
          <w:u w:val="single"/>
          <w:bdr w:val="none" w:sz="0" w:space="0" w:color="auto" w:frame="1"/>
        </w:rPr>
        <w:t xml:space="preserve">Colleagues can return to work from day </w:t>
      </w:r>
      <w:r w:rsidR="007A4A51">
        <w:rPr>
          <w:bCs/>
          <w:color w:val="333333"/>
          <w:u w:val="single"/>
          <w:bdr w:val="none" w:sz="0" w:space="0" w:color="auto" w:frame="1"/>
        </w:rPr>
        <w:t>6</w:t>
      </w:r>
      <w:r w:rsidRPr="00D55864">
        <w:rPr>
          <w:bCs/>
          <w:color w:val="333333"/>
          <w:u w:val="single"/>
          <w:bdr w:val="none" w:sz="0" w:space="0" w:color="auto" w:frame="1"/>
        </w:rPr>
        <w:t xml:space="preserve"> if they have had two negative lateral flow tests, feel clinically well and have a normal temperature. The LFTs should be taken </w:t>
      </w:r>
      <w:r w:rsidR="00593C18" w:rsidRPr="00D55864">
        <w:rPr>
          <w:bCs/>
          <w:color w:val="333333"/>
          <w:u w:val="single"/>
          <w:bdr w:val="none" w:sz="0" w:space="0" w:color="auto" w:frame="1"/>
        </w:rPr>
        <w:t xml:space="preserve">24 hours apart. The first LFT should not be taken before the </w:t>
      </w:r>
      <w:r w:rsidR="002215CB">
        <w:rPr>
          <w:bCs/>
          <w:color w:val="333333"/>
          <w:u w:val="single"/>
          <w:bdr w:val="none" w:sz="0" w:space="0" w:color="auto" w:frame="1"/>
        </w:rPr>
        <w:t>day 4</w:t>
      </w:r>
      <w:r w:rsidRPr="00D55864">
        <w:rPr>
          <w:bCs/>
          <w:color w:val="333333"/>
          <w:u w:val="single"/>
          <w:bdr w:val="none" w:sz="0" w:space="0" w:color="auto" w:frame="1"/>
        </w:rPr>
        <w:t xml:space="preserve"> and </w:t>
      </w:r>
      <w:r w:rsidR="002215CB" w:rsidRPr="00D55864">
        <w:rPr>
          <w:bCs/>
          <w:color w:val="333333"/>
          <w:u w:val="single"/>
          <w:bdr w:val="none" w:sz="0" w:space="0" w:color="auto" w:frame="1"/>
        </w:rPr>
        <w:t>should</w:t>
      </w:r>
      <w:r w:rsidR="002215CB" w:rsidRPr="00D55864">
        <w:t xml:space="preserve"> </w:t>
      </w:r>
      <w:r w:rsidR="002215CB" w:rsidRPr="00D55864">
        <w:rPr>
          <w:bCs/>
          <w:color w:val="333333"/>
          <w:u w:val="single"/>
          <w:bdr w:val="none" w:sz="0" w:space="0" w:color="auto" w:frame="1"/>
        </w:rPr>
        <w:t>ideally be taken as soon as possible</w:t>
      </w:r>
      <w:r w:rsidR="00EF39F5" w:rsidRPr="00D55864">
        <w:rPr>
          <w:bCs/>
          <w:color w:val="333333"/>
          <w:u w:val="single"/>
          <w:bdr w:val="none" w:sz="0" w:space="0" w:color="auto" w:frame="1"/>
        </w:rPr>
        <w:t xml:space="preserve"> on waking</w:t>
      </w:r>
      <w:r w:rsidR="00D55864" w:rsidRPr="00D55864">
        <w:rPr>
          <w:bCs/>
          <w:color w:val="333333"/>
          <w:u w:val="single"/>
          <w:bdr w:val="none" w:sz="0" w:space="0" w:color="auto" w:frame="1"/>
        </w:rPr>
        <w:t>.</w:t>
      </w:r>
    </w:p>
    <w:p w14:paraId="1014D860" w14:textId="77777777" w:rsidR="00593C18" w:rsidRPr="00D55864" w:rsidRDefault="00593C18" w:rsidP="00593C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D55864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 </w:t>
      </w:r>
    </w:p>
    <w:p w14:paraId="0ABD9C11" w14:textId="7EBC1C01" w:rsidR="00593C18" w:rsidRDefault="00593C18" w:rsidP="000630CA">
      <w:pPr>
        <w:pStyle w:val="NoSpacing"/>
      </w:pPr>
      <w:r>
        <w:rPr>
          <w:bdr w:val="none" w:sz="0" w:space="0" w:color="auto" w:frame="1"/>
        </w:rPr>
        <w:t xml:space="preserve">If both these test results are negative, </w:t>
      </w:r>
      <w:r w:rsidR="00A611F2">
        <w:rPr>
          <w:bdr w:val="none" w:sz="0" w:space="0" w:color="auto" w:frame="1"/>
        </w:rPr>
        <w:t xml:space="preserve">they </w:t>
      </w:r>
      <w:r>
        <w:rPr>
          <w:bdr w:val="none" w:sz="0" w:space="0" w:color="auto" w:frame="1"/>
        </w:rPr>
        <w:t xml:space="preserve">may return to work after the second (day </w:t>
      </w:r>
      <w:r w:rsidR="00D3198C">
        <w:rPr>
          <w:bdr w:val="none" w:sz="0" w:space="0" w:color="auto" w:frame="1"/>
        </w:rPr>
        <w:t>6</w:t>
      </w:r>
      <w:r>
        <w:rPr>
          <w:bdr w:val="none" w:sz="0" w:space="0" w:color="auto" w:frame="1"/>
        </w:rPr>
        <w:t xml:space="preserve">) negative </w:t>
      </w:r>
      <w:r w:rsidR="00A611F2">
        <w:rPr>
          <w:bdr w:val="none" w:sz="0" w:space="0" w:color="auto" w:frame="1"/>
        </w:rPr>
        <w:t xml:space="preserve">LFT </w:t>
      </w:r>
      <w:r>
        <w:rPr>
          <w:bdr w:val="none" w:sz="0" w:space="0" w:color="auto" w:frame="1"/>
        </w:rPr>
        <w:t>under the following conditions: </w:t>
      </w:r>
    </w:p>
    <w:p w14:paraId="2718ECB4" w14:textId="77777777" w:rsidR="00EF39F5" w:rsidRPr="00EF39F5" w:rsidRDefault="00593C18" w:rsidP="000630CA">
      <w:pPr>
        <w:pStyle w:val="NoSpacing"/>
        <w:numPr>
          <w:ilvl w:val="0"/>
          <w:numId w:val="8"/>
        </w:numPr>
        <w:rPr>
          <w:rFonts w:eastAsia="Times New Roman"/>
        </w:rPr>
      </w:pPr>
      <w:r w:rsidRPr="00EF39F5">
        <w:rPr>
          <w:rFonts w:eastAsia="Times New Roman"/>
          <w:bdr w:val="none" w:sz="0" w:space="0" w:color="auto" w:frame="1"/>
        </w:rPr>
        <w:t>The staff member should not</w:t>
      </w:r>
      <w:r w:rsidR="00EF39F5">
        <w:rPr>
          <w:rFonts w:eastAsia="Times New Roman"/>
          <w:bdr w:val="none" w:sz="0" w:space="0" w:color="auto" w:frame="1"/>
        </w:rPr>
        <w:t xml:space="preserve"> </w:t>
      </w:r>
      <w:r w:rsidR="00EF39F5" w:rsidRPr="00EF39F5">
        <w:rPr>
          <w:rFonts w:eastAsia="Times New Roman"/>
          <w:bdr w:val="none" w:sz="0" w:space="0" w:color="auto" w:frame="1"/>
        </w:rPr>
        <w:t xml:space="preserve">have a high temperature over 37.8 degrees </w:t>
      </w:r>
      <w:r w:rsidR="00EF39F5">
        <w:rPr>
          <w:rFonts w:eastAsia="Times New Roman"/>
          <w:color w:val="000000"/>
        </w:rPr>
        <w:t>or still feel clinically unwell</w:t>
      </w:r>
    </w:p>
    <w:p w14:paraId="023D7589" w14:textId="77777777" w:rsidR="00593C18" w:rsidRPr="00A611F2" w:rsidRDefault="00593C18" w:rsidP="000630CA">
      <w:pPr>
        <w:pStyle w:val="NoSpacing"/>
        <w:numPr>
          <w:ilvl w:val="0"/>
          <w:numId w:val="8"/>
        </w:numPr>
        <w:rPr>
          <w:rFonts w:eastAsia="Times New Roman"/>
        </w:rPr>
      </w:pPr>
      <w:r w:rsidRPr="00A611F2">
        <w:rPr>
          <w:rFonts w:eastAsia="Times New Roman"/>
          <w:bdr w:val="none" w:sz="0" w:space="0" w:color="auto" w:frame="1"/>
        </w:rPr>
        <w:t xml:space="preserve">The staff member should continue to perform LFT tests every day for the remainder of the 10-day period If any LFT test result is positive the staff member should continue to isolate and should wait 24 hours </w:t>
      </w:r>
      <w:r w:rsidR="00EF39F5" w:rsidRPr="00A611F2">
        <w:rPr>
          <w:rFonts w:eastAsia="Times New Roman"/>
          <w:bdr w:val="none" w:sz="0" w:space="0" w:color="auto" w:frame="1"/>
        </w:rPr>
        <w:t>before taking the next LFT test (see table)</w:t>
      </w:r>
      <w:r w:rsidRPr="00A611F2">
        <w:rPr>
          <w:rFonts w:eastAsia="Times New Roman"/>
          <w:color w:val="201F1E"/>
        </w:rPr>
        <w:t> </w:t>
      </w:r>
    </w:p>
    <w:p w14:paraId="0AD2A878" w14:textId="77777777" w:rsidR="00593C18" w:rsidRDefault="00593C18" w:rsidP="000630CA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>On days the staff member is working, the LFT test should be taken at home prior to beginning their shift (</w:t>
      </w:r>
      <w:r w:rsidR="00A611F2">
        <w:rPr>
          <w:rFonts w:eastAsia="Times New Roman"/>
          <w:bdr w:val="none" w:sz="0" w:space="0" w:color="auto" w:frame="1"/>
        </w:rPr>
        <w:t>a</w:t>
      </w:r>
      <w:r>
        <w:rPr>
          <w:rFonts w:eastAsia="Times New Roman"/>
          <w:bdr w:val="none" w:sz="0" w:space="0" w:color="auto" w:frame="1"/>
        </w:rPr>
        <w:t>s close as possible to the start time</w:t>
      </w:r>
      <w:r>
        <w:rPr>
          <w:rFonts w:eastAsia="Times New Roman"/>
          <w:color w:val="201F1E"/>
        </w:rPr>
        <w:t>).</w:t>
      </w:r>
    </w:p>
    <w:p w14:paraId="4E95B0B4" w14:textId="77777777" w:rsidR="00593C18" w:rsidRDefault="00593C18" w:rsidP="000630CA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 xml:space="preserve">All staff must comply with all recommended infection </w:t>
      </w:r>
      <w:r w:rsidR="00A611F2">
        <w:rPr>
          <w:rFonts w:eastAsia="Times New Roman"/>
          <w:bdr w:val="none" w:sz="0" w:space="0" w:color="auto" w:frame="1"/>
        </w:rPr>
        <w:t xml:space="preserve">prevention and </w:t>
      </w:r>
      <w:r>
        <w:rPr>
          <w:rFonts w:eastAsia="Times New Roman"/>
          <w:bdr w:val="none" w:sz="0" w:space="0" w:color="auto" w:frame="1"/>
        </w:rPr>
        <w:t>control precautions.</w:t>
      </w:r>
      <w:r>
        <w:rPr>
          <w:rFonts w:eastAsia="Times New Roman"/>
          <w:color w:val="201F1E"/>
        </w:rPr>
        <w:t> </w:t>
      </w:r>
    </w:p>
    <w:p w14:paraId="5FA8C132" w14:textId="1D8AB7D6" w:rsidR="00A67C31" w:rsidRPr="007A4A51" w:rsidRDefault="00593C18" w:rsidP="000630CA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>If the staff member works with patients or residents who are especially vulnerable to COVID-19, a risk assessment should be undertaken, and consideration given to redeployment for the remainder of the 10-day period.</w:t>
      </w:r>
      <w:r>
        <w:rPr>
          <w:rFonts w:eastAsia="Times New Roman"/>
          <w:color w:val="201F1E"/>
        </w:rPr>
        <w:t> </w:t>
      </w:r>
    </w:p>
    <w:p w14:paraId="6DBB3EA4" w14:textId="1D74367A" w:rsidR="007A4A51" w:rsidRPr="007A4A51" w:rsidRDefault="007A4A51" w:rsidP="000630CA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If still positive at Day 10 but asymptomatic you must speak to IPC about return to work </w:t>
      </w:r>
    </w:p>
    <w:p w14:paraId="5969862D" w14:textId="62D4C19E" w:rsidR="00A611F2" w:rsidRPr="00EB1935" w:rsidRDefault="007A4A51" w:rsidP="00EF39F5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If still positive at Day 10 but clinically unwell you must refrain from work until clinically well </w:t>
      </w:r>
    </w:p>
    <w:p w14:paraId="067504BE" w14:textId="77777777" w:rsidR="00EB1935" w:rsidRPr="000630CA" w:rsidRDefault="00EB1935" w:rsidP="00EB1935">
      <w:pPr>
        <w:pStyle w:val="NoSpacing"/>
        <w:ind w:left="720"/>
        <w:rPr>
          <w:rFonts w:eastAsia="Times New Roman"/>
        </w:rPr>
      </w:pPr>
    </w:p>
    <w:tbl>
      <w:tblPr>
        <w:tblStyle w:val="TableGrid"/>
        <w:tblpPr w:leftFromText="180" w:rightFromText="180" w:vertAnchor="text" w:horzAnchor="margin" w:tblpY="34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559"/>
        <w:gridCol w:w="1701"/>
        <w:gridCol w:w="1843"/>
        <w:gridCol w:w="2126"/>
        <w:gridCol w:w="2126"/>
        <w:gridCol w:w="2007"/>
      </w:tblGrid>
      <w:tr w:rsidR="000630CA" w14:paraId="037C36E0" w14:textId="77777777" w:rsidTr="000630CA">
        <w:tc>
          <w:tcPr>
            <w:tcW w:w="1526" w:type="dxa"/>
            <w:shd w:val="clear" w:color="auto" w:fill="548DD4" w:themeFill="text2" w:themeFillTint="99"/>
          </w:tcPr>
          <w:p w14:paraId="404D59AB" w14:textId="77777777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lastRenderedPageBreak/>
              <w:t xml:space="preserve">Day following positive test or start of symptoms 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7275CF7B" w14:textId="25845D89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>Day 4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2CA5A423" w14:textId="789732FE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>Day  5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69968F54" w14:textId="2A7EB098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>Day  6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500587B2" w14:textId="72CB0699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>Day  7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7F338D01" w14:textId="116B8B1D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 xml:space="preserve">Day  8 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14:paraId="5547DAD6" w14:textId="08E43A2F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>Day 9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14:paraId="041B68AD" w14:textId="45DA556A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>Day 10</w:t>
            </w:r>
          </w:p>
        </w:tc>
        <w:tc>
          <w:tcPr>
            <w:tcW w:w="2007" w:type="dxa"/>
            <w:shd w:val="clear" w:color="auto" w:fill="548DD4" w:themeFill="text2" w:themeFillTint="99"/>
          </w:tcPr>
          <w:p w14:paraId="77B55B4B" w14:textId="58C7CD4A" w:rsidR="00021367" w:rsidRPr="000630CA" w:rsidRDefault="00021367" w:rsidP="007460A5">
            <w:pPr>
              <w:rPr>
                <w:b/>
                <w:color w:val="FFFFFF" w:themeColor="background1"/>
              </w:rPr>
            </w:pPr>
            <w:r w:rsidRPr="000630CA">
              <w:rPr>
                <w:b/>
                <w:color w:val="FFFFFF" w:themeColor="background1"/>
              </w:rPr>
              <w:t>Day  11</w:t>
            </w:r>
          </w:p>
        </w:tc>
      </w:tr>
      <w:tr w:rsidR="000630CA" w14:paraId="4B9909D5" w14:textId="77777777" w:rsidTr="000630CA">
        <w:trPr>
          <w:trHeight w:val="1511"/>
        </w:trPr>
        <w:tc>
          <w:tcPr>
            <w:tcW w:w="1526" w:type="dxa"/>
            <w:shd w:val="clear" w:color="auto" w:fill="C6D9F1" w:themeFill="text2" w:themeFillTint="33"/>
          </w:tcPr>
          <w:p w14:paraId="4F51CEC5" w14:textId="77777777" w:rsidR="00021367" w:rsidRPr="000630CA" w:rsidRDefault="00021367" w:rsidP="007460A5">
            <w:pPr>
              <w:rPr>
                <w:b/>
              </w:rPr>
            </w:pPr>
            <w:r w:rsidRPr="000630CA">
              <w:rPr>
                <w:b/>
              </w:rPr>
              <w:t>Scenario one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0763988" w14:textId="77777777" w:rsidR="00021367" w:rsidRPr="000630CA" w:rsidRDefault="00021367" w:rsidP="007460A5">
            <w:r w:rsidRPr="000630CA">
              <w:t>-VE LFT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89C158" w14:textId="77777777" w:rsidR="00021367" w:rsidRPr="000630CA" w:rsidRDefault="00021367" w:rsidP="007460A5">
            <w:r w:rsidRPr="000630CA">
              <w:t>-VE LFT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9CB0385" w14:textId="38B34F18" w:rsidR="00021367" w:rsidRPr="000630CA" w:rsidRDefault="00021367" w:rsidP="007460A5">
            <w:r w:rsidRPr="000630CA">
              <w:t>Can return to work IF   -VE LFT</w:t>
            </w:r>
          </w:p>
          <w:p w14:paraId="1C52C1C9" w14:textId="77777777" w:rsidR="00021367" w:rsidRPr="000630CA" w:rsidRDefault="00021367" w:rsidP="007460A5">
            <w:r w:rsidRPr="000630CA">
              <w:t>+ No Temperature</w:t>
            </w:r>
          </w:p>
          <w:p w14:paraId="2DE105E6" w14:textId="77777777" w:rsidR="00021367" w:rsidRPr="000630CA" w:rsidRDefault="00021367" w:rsidP="007460A5"/>
        </w:tc>
        <w:tc>
          <w:tcPr>
            <w:tcW w:w="1701" w:type="dxa"/>
            <w:shd w:val="clear" w:color="auto" w:fill="C6D9F1" w:themeFill="text2" w:themeFillTint="33"/>
          </w:tcPr>
          <w:p w14:paraId="2CAC2624" w14:textId="70818AAD" w:rsidR="00021367" w:rsidRPr="000630CA" w:rsidRDefault="00021367" w:rsidP="007460A5">
            <w:r w:rsidRPr="000630CA">
              <w:t>Continue daily testing IF -VE LFT + No Temperature</w:t>
            </w:r>
          </w:p>
          <w:p w14:paraId="634007E5" w14:textId="77777777" w:rsidR="00021367" w:rsidRPr="000630CA" w:rsidRDefault="00021367" w:rsidP="007460A5">
            <w:r w:rsidRPr="000630CA">
              <w:t xml:space="preserve">Can work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A7BCDB6" w14:textId="51EE1778" w:rsidR="00021367" w:rsidRPr="000630CA" w:rsidRDefault="00021367" w:rsidP="007460A5">
            <w:r w:rsidRPr="000630CA">
              <w:t>Continue daily testing IF -VE LFT + No Temperature</w:t>
            </w:r>
          </w:p>
          <w:p w14:paraId="6A8F79B5" w14:textId="77777777" w:rsidR="00021367" w:rsidRPr="000630CA" w:rsidRDefault="00021367" w:rsidP="007460A5">
            <w:r w:rsidRPr="000630CA">
              <w:t xml:space="preserve">Can work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BAA3DC9" w14:textId="360748EF" w:rsidR="00021367" w:rsidRPr="000630CA" w:rsidRDefault="00021367" w:rsidP="00021367">
            <w:r w:rsidRPr="000630CA">
              <w:t>Continue daily testing IF -VE LFT + No Temperature</w:t>
            </w:r>
          </w:p>
          <w:p w14:paraId="4C62326C" w14:textId="4D11454D" w:rsidR="00021367" w:rsidRPr="000630CA" w:rsidRDefault="00021367" w:rsidP="00021367">
            <w:r w:rsidRPr="000630CA">
              <w:t>Can work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810771" w14:textId="77777777" w:rsidR="00021367" w:rsidRPr="000630CA" w:rsidRDefault="00021367" w:rsidP="00021367">
            <w:r w:rsidRPr="000630CA">
              <w:t>Continue daily testing IF  -VE LFT + No Temperature</w:t>
            </w:r>
          </w:p>
          <w:p w14:paraId="429559A9" w14:textId="710735B1" w:rsidR="00021367" w:rsidRPr="000630CA" w:rsidRDefault="00021367" w:rsidP="00021367">
            <w:r w:rsidRPr="000630CA">
              <w:t>Can work</w:t>
            </w:r>
          </w:p>
        </w:tc>
        <w:tc>
          <w:tcPr>
            <w:tcW w:w="2007" w:type="dxa"/>
            <w:shd w:val="clear" w:color="auto" w:fill="C6D9F1" w:themeFill="text2" w:themeFillTint="33"/>
          </w:tcPr>
          <w:p w14:paraId="1D3D169B" w14:textId="26D7E9E5" w:rsidR="00021367" w:rsidRPr="000630CA" w:rsidRDefault="00021367" w:rsidP="00946716">
            <w:r w:rsidRPr="000630CA">
              <w:t xml:space="preserve">Can return to normal </w:t>
            </w:r>
            <w:r w:rsidR="00946716">
              <w:t>Working</w:t>
            </w:r>
          </w:p>
        </w:tc>
      </w:tr>
      <w:tr w:rsidR="000630CA" w14:paraId="2159B8B0" w14:textId="77777777" w:rsidTr="00731F6A">
        <w:trPr>
          <w:trHeight w:val="1539"/>
        </w:trPr>
        <w:tc>
          <w:tcPr>
            <w:tcW w:w="1526" w:type="dxa"/>
            <w:shd w:val="clear" w:color="auto" w:fill="8DB3E2" w:themeFill="text2" w:themeFillTint="66"/>
          </w:tcPr>
          <w:p w14:paraId="491AFBD5" w14:textId="77777777" w:rsidR="00021367" w:rsidRPr="000630CA" w:rsidRDefault="00021367" w:rsidP="007460A5">
            <w:pPr>
              <w:rPr>
                <w:b/>
              </w:rPr>
            </w:pPr>
            <w:r w:rsidRPr="000630CA">
              <w:rPr>
                <w:b/>
              </w:rPr>
              <w:t>Scenario Two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2B3BF0D9" w14:textId="77777777" w:rsidR="00021367" w:rsidRPr="000630CA" w:rsidRDefault="00021367" w:rsidP="007460A5">
            <w:r w:rsidRPr="000630CA">
              <w:t>+VE LFT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35937FD6" w14:textId="77777777" w:rsidR="00021367" w:rsidRPr="000630CA" w:rsidRDefault="00021367" w:rsidP="007460A5">
            <w:r w:rsidRPr="000630CA">
              <w:t>-VE LFT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769C07C2" w14:textId="77777777" w:rsidR="00021367" w:rsidRPr="000630CA" w:rsidRDefault="00021367" w:rsidP="007460A5">
            <w:r w:rsidRPr="000630CA">
              <w:t>-VE LFT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5AE2A791" w14:textId="5AB6FA75" w:rsidR="00021367" w:rsidRPr="000630CA" w:rsidRDefault="00021367" w:rsidP="007460A5">
            <w:r w:rsidRPr="000630CA">
              <w:t>Can return to work IF   -VE LFT</w:t>
            </w:r>
          </w:p>
          <w:p w14:paraId="44435CE3" w14:textId="77777777" w:rsidR="00021367" w:rsidRPr="000630CA" w:rsidRDefault="00021367" w:rsidP="007460A5">
            <w:r w:rsidRPr="000630CA">
              <w:t>+ No Temperature</w:t>
            </w:r>
          </w:p>
          <w:p w14:paraId="674F49ED" w14:textId="5C4D0799" w:rsidR="00021367" w:rsidRPr="000630CA" w:rsidRDefault="00021367" w:rsidP="007460A5"/>
        </w:tc>
        <w:tc>
          <w:tcPr>
            <w:tcW w:w="1843" w:type="dxa"/>
            <w:shd w:val="clear" w:color="auto" w:fill="8DB3E2" w:themeFill="text2" w:themeFillTint="66"/>
          </w:tcPr>
          <w:p w14:paraId="4BC368AA" w14:textId="348E3798" w:rsidR="00021367" w:rsidRPr="000630CA" w:rsidRDefault="00021367" w:rsidP="007460A5">
            <w:r w:rsidRPr="000630CA">
              <w:t>Continue daily testing IF -VE LFT+ No Temperature</w:t>
            </w:r>
          </w:p>
          <w:p w14:paraId="22930E1D" w14:textId="77777777" w:rsidR="00021367" w:rsidRPr="000630CA" w:rsidRDefault="00021367" w:rsidP="007460A5">
            <w:r w:rsidRPr="000630CA">
              <w:t>Can work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63669E01" w14:textId="143AEAEF" w:rsidR="00021367" w:rsidRPr="000630CA" w:rsidRDefault="00021367" w:rsidP="00021367">
            <w:r w:rsidRPr="000630CA">
              <w:t>Continue daily testing IF -VE LFT+ No Temperature</w:t>
            </w:r>
          </w:p>
          <w:p w14:paraId="09EF71D6" w14:textId="72C884C5" w:rsidR="00021367" w:rsidRPr="000630CA" w:rsidRDefault="00021367" w:rsidP="00021367">
            <w:r w:rsidRPr="000630CA">
              <w:t>Can work</w:t>
            </w:r>
            <w:r w:rsidRPr="000630CA">
              <w:tab/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643A54FB" w14:textId="21B837A6" w:rsidR="00021367" w:rsidRPr="000630CA" w:rsidRDefault="00021367" w:rsidP="00021367">
            <w:r w:rsidRPr="000630CA">
              <w:t>Continue daily testing IF -VE LFT+ No Temperature</w:t>
            </w:r>
          </w:p>
          <w:p w14:paraId="11134692" w14:textId="2CDB04D7" w:rsidR="00021367" w:rsidRPr="000630CA" w:rsidRDefault="00021367" w:rsidP="00021367">
            <w:r w:rsidRPr="000630CA">
              <w:t>Can work</w:t>
            </w:r>
          </w:p>
        </w:tc>
        <w:tc>
          <w:tcPr>
            <w:tcW w:w="2007" w:type="dxa"/>
            <w:shd w:val="clear" w:color="auto" w:fill="8DB3E2" w:themeFill="text2" w:themeFillTint="66"/>
          </w:tcPr>
          <w:p w14:paraId="7E912587" w14:textId="0096EDE9" w:rsidR="00021367" w:rsidRPr="000630CA" w:rsidRDefault="00946716" w:rsidP="007460A5">
            <w:r w:rsidRPr="000630CA">
              <w:t xml:space="preserve">Can return to normal </w:t>
            </w:r>
            <w:r>
              <w:t>Working</w:t>
            </w:r>
          </w:p>
        </w:tc>
      </w:tr>
      <w:tr w:rsidR="000630CA" w14:paraId="03B6E880" w14:textId="77777777" w:rsidTr="000630CA">
        <w:trPr>
          <w:trHeight w:val="1363"/>
        </w:trPr>
        <w:tc>
          <w:tcPr>
            <w:tcW w:w="1526" w:type="dxa"/>
            <w:shd w:val="clear" w:color="auto" w:fill="C6D9F1" w:themeFill="text2" w:themeFillTint="33"/>
          </w:tcPr>
          <w:p w14:paraId="0A0EE92B" w14:textId="77777777" w:rsidR="00021367" w:rsidRPr="000630CA" w:rsidRDefault="00021367" w:rsidP="007460A5">
            <w:pPr>
              <w:rPr>
                <w:b/>
              </w:rPr>
            </w:pPr>
            <w:r w:rsidRPr="000630CA">
              <w:rPr>
                <w:b/>
              </w:rPr>
              <w:t>Scenario Three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913D70E" w14:textId="77777777" w:rsidR="00021367" w:rsidRPr="000630CA" w:rsidRDefault="00021367" w:rsidP="007460A5">
            <w:r w:rsidRPr="000630CA">
              <w:t>+VE LFT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92E3C62" w14:textId="77777777" w:rsidR="00021367" w:rsidRPr="000630CA" w:rsidRDefault="00021367" w:rsidP="007460A5">
            <w:r w:rsidRPr="000630CA">
              <w:t>+VE LFT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DCF3EA9" w14:textId="77777777" w:rsidR="00021367" w:rsidRPr="000630CA" w:rsidRDefault="00021367" w:rsidP="007460A5">
            <w:r w:rsidRPr="000630CA">
              <w:t>-VE LFT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2A3C90A" w14:textId="77777777" w:rsidR="00021367" w:rsidRPr="000630CA" w:rsidRDefault="00021367" w:rsidP="007460A5">
            <w:r w:rsidRPr="000630CA">
              <w:t>-VE LFT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06450D7" w14:textId="3330303A" w:rsidR="00021367" w:rsidRPr="000630CA" w:rsidRDefault="00021367" w:rsidP="006E5BEA">
            <w:r w:rsidRPr="000630CA">
              <w:t>Can return to work IF   -VE LFT</w:t>
            </w:r>
          </w:p>
          <w:p w14:paraId="237DF12B" w14:textId="77777777" w:rsidR="00021367" w:rsidRPr="000630CA" w:rsidRDefault="00021367" w:rsidP="006E5BEA">
            <w:r w:rsidRPr="000630CA">
              <w:t>+ No Temperature</w:t>
            </w:r>
          </w:p>
          <w:p w14:paraId="3199C6C8" w14:textId="77777777" w:rsidR="00021367" w:rsidRPr="000630CA" w:rsidRDefault="00021367" w:rsidP="007460A5"/>
        </w:tc>
        <w:tc>
          <w:tcPr>
            <w:tcW w:w="2126" w:type="dxa"/>
            <w:shd w:val="clear" w:color="auto" w:fill="C6D9F1" w:themeFill="text2" w:themeFillTint="33"/>
          </w:tcPr>
          <w:p w14:paraId="217884D2" w14:textId="77777777" w:rsidR="007A4A51" w:rsidRPr="000630CA" w:rsidRDefault="007A4A51" w:rsidP="007A4A51">
            <w:r w:rsidRPr="000630CA">
              <w:t>Continue daily testing IF -VE LFT</w:t>
            </w:r>
          </w:p>
          <w:p w14:paraId="278C25C3" w14:textId="77777777" w:rsidR="007A4A51" w:rsidRPr="000630CA" w:rsidRDefault="007A4A51" w:rsidP="007A4A51">
            <w:r w:rsidRPr="000630CA">
              <w:t>+ No Temperature</w:t>
            </w:r>
          </w:p>
          <w:p w14:paraId="032E7292" w14:textId="46916987" w:rsidR="00021367" w:rsidRPr="000630CA" w:rsidRDefault="007A4A51" w:rsidP="007A4A51">
            <w:r w:rsidRPr="000630CA">
              <w:t>Can work</w:t>
            </w:r>
            <w:r w:rsidRPr="000630CA">
              <w:tab/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6950E096" w14:textId="77777777" w:rsidR="007A4A51" w:rsidRPr="000630CA" w:rsidRDefault="007A4A51" w:rsidP="007A4A51">
            <w:r w:rsidRPr="000630CA">
              <w:t>Continue daily testing IF -VE LFT</w:t>
            </w:r>
          </w:p>
          <w:p w14:paraId="5EC4B71A" w14:textId="77777777" w:rsidR="007A4A51" w:rsidRPr="000630CA" w:rsidRDefault="007A4A51" w:rsidP="007A4A51">
            <w:r w:rsidRPr="000630CA">
              <w:t>+ No Temperature</w:t>
            </w:r>
          </w:p>
          <w:p w14:paraId="76640904" w14:textId="3BB14DC4" w:rsidR="00021367" w:rsidRPr="000630CA" w:rsidRDefault="007A4A51" w:rsidP="007A4A51">
            <w:r w:rsidRPr="000630CA">
              <w:t>Can work</w:t>
            </w:r>
            <w:r w:rsidRPr="000630CA">
              <w:tab/>
            </w:r>
          </w:p>
        </w:tc>
        <w:tc>
          <w:tcPr>
            <w:tcW w:w="2007" w:type="dxa"/>
            <w:shd w:val="clear" w:color="auto" w:fill="C6D9F1" w:themeFill="text2" w:themeFillTint="33"/>
          </w:tcPr>
          <w:p w14:paraId="736BA571" w14:textId="037D31B6" w:rsidR="00021367" w:rsidRPr="000630CA" w:rsidRDefault="00946716" w:rsidP="007460A5">
            <w:r w:rsidRPr="000630CA">
              <w:t xml:space="preserve">Can return to normal </w:t>
            </w:r>
            <w:r>
              <w:t>Working</w:t>
            </w:r>
          </w:p>
        </w:tc>
      </w:tr>
      <w:tr w:rsidR="000630CA" w14:paraId="68490C6B" w14:textId="77777777" w:rsidTr="000630CA">
        <w:trPr>
          <w:trHeight w:val="274"/>
        </w:trPr>
        <w:tc>
          <w:tcPr>
            <w:tcW w:w="1526" w:type="dxa"/>
            <w:shd w:val="clear" w:color="auto" w:fill="8DB3E2" w:themeFill="text2" w:themeFillTint="66"/>
          </w:tcPr>
          <w:p w14:paraId="1B022123" w14:textId="77777777" w:rsidR="00021367" w:rsidRPr="000630CA" w:rsidRDefault="00021367" w:rsidP="007460A5">
            <w:pPr>
              <w:rPr>
                <w:b/>
              </w:rPr>
            </w:pPr>
            <w:r w:rsidRPr="000630CA">
              <w:rPr>
                <w:b/>
              </w:rPr>
              <w:t>Scenario Four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3BBDFCC1" w14:textId="77777777" w:rsidR="00021367" w:rsidRPr="000630CA" w:rsidRDefault="00021367" w:rsidP="007460A5">
            <w:r w:rsidRPr="000630CA">
              <w:t>+VE LFT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02964512" w14:textId="77777777" w:rsidR="00021367" w:rsidRPr="000630CA" w:rsidRDefault="00021367" w:rsidP="007460A5">
            <w:r w:rsidRPr="000630CA">
              <w:t>+VE LFT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59E4658E" w14:textId="77777777" w:rsidR="00021367" w:rsidRPr="000630CA" w:rsidRDefault="00021367" w:rsidP="007460A5">
            <w:r w:rsidRPr="000630CA">
              <w:t>+VE LFT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A18E443" w14:textId="77777777" w:rsidR="00021367" w:rsidRPr="000630CA" w:rsidRDefault="00021367" w:rsidP="007460A5">
            <w:r w:rsidRPr="000630CA">
              <w:t>+VE LFT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17F9A97F" w14:textId="561F3FF4" w:rsidR="00021367" w:rsidRPr="000630CA" w:rsidRDefault="00021367" w:rsidP="007460A5">
            <w:r w:rsidRPr="000630CA">
              <w:t>-VE LFT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6F3BABC8" w14:textId="01E21C7B" w:rsidR="00021367" w:rsidRPr="000630CA" w:rsidRDefault="007A4A51" w:rsidP="0037682F">
            <w:r w:rsidRPr="000630CA">
              <w:t>-VE LFT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1D47F04A" w14:textId="22E56669" w:rsidR="007A4A51" w:rsidRPr="000630CA" w:rsidRDefault="007A4A51" w:rsidP="007A4A51">
            <w:r w:rsidRPr="000630CA">
              <w:t>Can return to work IF   -VE LFT</w:t>
            </w:r>
          </w:p>
          <w:p w14:paraId="6BD9F8B5" w14:textId="77777777" w:rsidR="007A4A51" w:rsidRPr="000630CA" w:rsidRDefault="007A4A51" w:rsidP="007A4A51">
            <w:r w:rsidRPr="000630CA">
              <w:t>+ No Temperature</w:t>
            </w:r>
          </w:p>
          <w:p w14:paraId="7B0518E0" w14:textId="77777777" w:rsidR="00021367" w:rsidRPr="000630CA" w:rsidRDefault="00021367" w:rsidP="0037682F"/>
        </w:tc>
        <w:tc>
          <w:tcPr>
            <w:tcW w:w="2007" w:type="dxa"/>
            <w:shd w:val="clear" w:color="auto" w:fill="8DB3E2" w:themeFill="text2" w:themeFillTint="66"/>
          </w:tcPr>
          <w:p w14:paraId="5FE827BB" w14:textId="467BC446" w:rsidR="00021367" w:rsidRPr="000630CA" w:rsidRDefault="00946716" w:rsidP="0037682F">
            <w:r w:rsidRPr="000630CA">
              <w:t xml:space="preserve">Can return to normal </w:t>
            </w:r>
            <w:r>
              <w:t>Working</w:t>
            </w:r>
          </w:p>
        </w:tc>
      </w:tr>
      <w:tr w:rsidR="000630CA" w14:paraId="45CF2E21" w14:textId="77777777" w:rsidTr="000630CA">
        <w:trPr>
          <w:trHeight w:val="1419"/>
        </w:trPr>
        <w:tc>
          <w:tcPr>
            <w:tcW w:w="1526" w:type="dxa"/>
            <w:shd w:val="clear" w:color="auto" w:fill="C6D9F1" w:themeFill="text2" w:themeFillTint="33"/>
          </w:tcPr>
          <w:p w14:paraId="556E5CC1" w14:textId="77777777" w:rsidR="00021367" w:rsidRPr="00B1649B" w:rsidRDefault="00021367" w:rsidP="007460A5">
            <w:pPr>
              <w:rPr>
                <w:b/>
                <w:sz w:val="24"/>
              </w:rPr>
            </w:pPr>
            <w:r w:rsidRPr="00B1649B">
              <w:rPr>
                <w:b/>
                <w:sz w:val="24"/>
              </w:rPr>
              <w:t>Scenario Five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5E949EF" w14:textId="77777777" w:rsidR="00021367" w:rsidRPr="00E11C25" w:rsidRDefault="00021367" w:rsidP="007460A5">
            <w:pPr>
              <w:rPr>
                <w:sz w:val="24"/>
              </w:rPr>
            </w:pPr>
            <w:r w:rsidRPr="00E11C25">
              <w:rPr>
                <w:sz w:val="24"/>
              </w:rPr>
              <w:t>-VE LFT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1C605ED" w14:textId="77777777" w:rsidR="00021367" w:rsidRPr="00E11C25" w:rsidRDefault="00021367" w:rsidP="007460A5">
            <w:pPr>
              <w:rPr>
                <w:sz w:val="24"/>
              </w:rPr>
            </w:pPr>
            <w:r w:rsidRPr="00E11C25">
              <w:rPr>
                <w:sz w:val="24"/>
              </w:rPr>
              <w:t>-VE LFT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4DE4678" w14:textId="77777777" w:rsidR="00021367" w:rsidRDefault="00021367" w:rsidP="007460A5">
            <w:pPr>
              <w:rPr>
                <w:sz w:val="24"/>
              </w:rPr>
            </w:pPr>
            <w:r w:rsidRPr="00E11C25">
              <w:rPr>
                <w:sz w:val="24"/>
              </w:rPr>
              <w:t>Can return to work  IF   -VE LFT</w:t>
            </w:r>
          </w:p>
          <w:p w14:paraId="5E421640" w14:textId="77777777" w:rsidR="00021367" w:rsidRPr="00E11C25" w:rsidRDefault="00021367" w:rsidP="007460A5">
            <w:pPr>
              <w:rPr>
                <w:sz w:val="24"/>
              </w:rPr>
            </w:pPr>
            <w:r>
              <w:rPr>
                <w:sz w:val="24"/>
              </w:rPr>
              <w:t>+ No Temperature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85C78FB" w14:textId="77777777" w:rsidR="00021367" w:rsidRPr="00E11C25" w:rsidRDefault="00021367" w:rsidP="007460A5">
            <w:pPr>
              <w:rPr>
                <w:sz w:val="24"/>
              </w:rPr>
            </w:pPr>
            <w:r w:rsidRPr="00E11C25">
              <w:rPr>
                <w:sz w:val="24"/>
              </w:rPr>
              <w:t>+VE LFT</w:t>
            </w:r>
          </w:p>
          <w:p w14:paraId="7E9A05F4" w14:textId="77777777" w:rsidR="00021367" w:rsidRPr="00E11C25" w:rsidRDefault="00021367" w:rsidP="007460A5">
            <w:pPr>
              <w:rPr>
                <w:sz w:val="24"/>
              </w:rPr>
            </w:pPr>
            <w:r w:rsidRPr="00E11C25">
              <w:rPr>
                <w:sz w:val="24"/>
              </w:rPr>
              <w:t>Stop working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5E35A7F" w14:textId="77777777" w:rsidR="00021367" w:rsidRPr="00E11C25" w:rsidRDefault="00021367" w:rsidP="007460A5">
            <w:pPr>
              <w:rPr>
                <w:sz w:val="24"/>
              </w:rPr>
            </w:pPr>
            <w:r w:rsidRPr="00E11C25">
              <w:rPr>
                <w:sz w:val="24"/>
              </w:rPr>
              <w:t>+VE LFT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0E35990" w14:textId="4BB50854" w:rsidR="00021367" w:rsidRPr="0037682F" w:rsidRDefault="007A4A51" w:rsidP="007460A5">
            <w:pPr>
              <w:rPr>
                <w:sz w:val="24"/>
              </w:rPr>
            </w:pPr>
            <w:r>
              <w:rPr>
                <w:sz w:val="24"/>
              </w:rPr>
              <w:t>-VE LFT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7F4F160" w14:textId="2F0CB1DF" w:rsidR="00021367" w:rsidRPr="0037682F" w:rsidRDefault="007A4A51" w:rsidP="007460A5">
            <w:pPr>
              <w:rPr>
                <w:sz w:val="24"/>
              </w:rPr>
            </w:pPr>
            <w:r>
              <w:rPr>
                <w:sz w:val="24"/>
              </w:rPr>
              <w:t>-VE LFT</w:t>
            </w:r>
          </w:p>
        </w:tc>
        <w:tc>
          <w:tcPr>
            <w:tcW w:w="2007" w:type="dxa"/>
            <w:shd w:val="clear" w:color="auto" w:fill="C6D9F1" w:themeFill="text2" w:themeFillTint="33"/>
          </w:tcPr>
          <w:p w14:paraId="2E13B9E4" w14:textId="3F141B07" w:rsidR="00021367" w:rsidRPr="00E11C25" w:rsidRDefault="00EB1935" w:rsidP="007460A5">
            <w:pPr>
              <w:rPr>
                <w:sz w:val="24"/>
              </w:rPr>
            </w:pPr>
            <w:r w:rsidRPr="000630CA">
              <w:t xml:space="preserve">Can return to normal </w:t>
            </w:r>
            <w:r>
              <w:t>Working</w:t>
            </w:r>
          </w:p>
        </w:tc>
      </w:tr>
    </w:tbl>
    <w:p w14:paraId="3C43ACB9" w14:textId="109D4792" w:rsidR="00E11C25" w:rsidRPr="00923B8E" w:rsidRDefault="00E11C25" w:rsidP="00731F6A"/>
    <w:sectPr w:rsidR="00E11C25" w:rsidRPr="00923B8E" w:rsidSect="00731F6A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0737" w14:textId="77777777" w:rsidR="007D1C30" w:rsidRDefault="007D1C30" w:rsidP="007460A5">
      <w:pPr>
        <w:spacing w:after="0" w:line="240" w:lineRule="auto"/>
      </w:pPr>
      <w:r>
        <w:separator/>
      </w:r>
    </w:p>
  </w:endnote>
  <w:endnote w:type="continuationSeparator" w:id="0">
    <w:p w14:paraId="62F197F3" w14:textId="77777777" w:rsidR="007D1C30" w:rsidRDefault="007D1C30" w:rsidP="0074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2D5B" w14:textId="77777777" w:rsidR="007D1C30" w:rsidRDefault="007D1C30" w:rsidP="007460A5">
      <w:pPr>
        <w:spacing w:after="0" w:line="240" w:lineRule="auto"/>
      </w:pPr>
      <w:r>
        <w:separator/>
      </w:r>
    </w:p>
  </w:footnote>
  <w:footnote w:type="continuationSeparator" w:id="0">
    <w:p w14:paraId="55128A0A" w14:textId="77777777" w:rsidR="007D1C30" w:rsidRDefault="007D1C30" w:rsidP="0074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F5BE" w14:textId="70047303" w:rsidR="007460A5" w:rsidRDefault="007460A5">
    <w:pPr>
      <w:pStyle w:val="Header"/>
    </w:pPr>
    <w:r w:rsidRPr="00B65562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C484141" wp14:editId="0AFC4B62">
          <wp:simplePos x="0" y="0"/>
          <wp:positionH relativeFrom="column">
            <wp:posOffset>5714365</wp:posOffset>
          </wp:positionH>
          <wp:positionV relativeFrom="paragraph">
            <wp:posOffset>-277495</wp:posOffset>
          </wp:positionV>
          <wp:extent cx="3686175" cy="884555"/>
          <wp:effectExtent l="0" t="0" r="9525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Staff isolation and when to return to work. </w:t>
    </w:r>
    <w:r w:rsidR="003F5893">
      <w:t>29</w:t>
    </w:r>
    <w:r w:rsidR="00EB1935">
      <w:t>/</w:t>
    </w:r>
    <w:r w:rsidR="003F5893">
      <w:t>11</w:t>
    </w:r>
    <w:r>
      <w:t>/2022</w:t>
    </w:r>
    <w:r w:rsidR="003F589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65F"/>
    <w:multiLevelType w:val="hybridMultilevel"/>
    <w:tmpl w:val="DB5C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5D8"/>
    <w:multiLevelType w:val="hybridMultilevel"/>
    <w:tmpl w:val="A49A2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2130C"/>
    <w:multiLevelType w:val="multilevel"/>
    <w:tmpl w:val="B52C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426E9"/>
    <w:multiLevelType w:val="hybridMultilevel"/>
    <w:tmpl w:val="24BEF882"/>
    <w:lvl w:ilvl="0" w:tplc="B6D000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28BE"/>
    <w:multiLevelType w:val="hybridMultilevel"/>
    <w:tmpl w:val="45149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2636"/>
    <w:multiLevelType w:val="hybridMultilevel"/>
    <w:tmpl w:val="2D2E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70AA"/>
    <w:multiLevelType w:val="hybridMultilevel"/>
    <w:tmpl w:val="3E3E3826"/>
    <w:lvl w:ilvl="0" w:tplc="9BDCD9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6C93DBA"/>
    <w:multiLevelType w:val="hybridMultilevel"/>
    <w:tmpl w:val="AB2A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0780">
    <w:abstractNumId w:val="2"/>
  </w:num>
  <w:num w:numId="2" w16cid:durableId="792751188">
    <w:abstractNumId w:val="4"/>
  </w:num>
  <w:num w:numId="3" w16cid:durableId="1655329186">
    <w:abstractNumId w:val="6"/>
  </w:num>
  <w:num w:numId="4" w16cid:durableId="1235703442">
    <w:abstractNumId w:val="3"/>
  </w:num>
  <w:num w:numId="5" w16cid:durableId="1328947135">
    <w:abstractNumId w:val="5"/>
  </w:num>
  <w:num w:numId="6" w16cid:durableId="861750662">
    <w:abstractNumId w:val="0"/>
  </w:num>
  <w:num w:numId="7" w16cid:durableId="455876969">
    <w:abstractNumId w:val="1"/>
  </w:num>
  <w:num w:numId="8" w16cid:durableId="658076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25"/>
    <w:rsid w:val="00021367"/>
    <w:rsid w:val="000630CA"/>
    <w:rsid w:val="000D7BFC"/>
    <w:rsid w:val="001C074C"/>
    <w:rsid w:val="001F4DC0"/>
    <w:rsid w:val="002215CB"/>
    <w:rsid w:val="00241817"/>
    <w:rsid w:val="002745D0"/>
    <w:rsid w:val="002A0170"/>
    <w:rsid w:val="0037682F"/>
    <w:rsid w:val="003D042E"/>
    <w:rsid w:val="003F5893"/>
    <w:rsid w:val="003F6DA3"/>
    <w:rsid w:val="00403FA4"/>
    <w:rsid w:val="00446830"/>
    <w:rsid w:val="0046119D"/>
    <w:rsid w:val="004C6659"/>
    <w:rsid w:val="00503E61"/>
    <w:rsid w:val="00506958"/>
    <w:rsid w:val="0053276D"/>
    <w:rsid w:val="00593C18"/>
    <w:rsid w:val="00632E11"/>
    <w:rsid w:val="00655C32"/>
    <w:rsid w:val="006E275C"/>
    <w:rsid w:val="006E5BEA"/>
    <w:rsid w:val="00723268"/>
    <w:rsid w:val="00731F6A"/>
    <w:rsid w:val="007460A5"/>
    <w:rsid w:val="007A4A51"/>
    <w:rsid w:val="007D1C30"/>
    <w:rsid w:val="008369C2"/>
    <w:rsid w:val="00923B8E"/>
    <w:rsid w:val="009447FA"/>
    <w:rsid w:val="00946716"/>
    <w:rsid w:val="009647BB"/>
    <w:rsid w:val="009E5849"/>
    <w:rsid w:val="00A611F2"/>
    <w:rsid w:val="00A67C31"/>
    <w:rsid w:val="00A779B0"/>
    <w:rsid w:val="00AF00BA"/>
    <w:rsid w:val="00B1649B"/>
    <w:rsid w:val="00B87173"/>
    <w:rsid w:val="00BF3220"/>
    <w:rsid w:val="00CA546E"/>
    <w:rsid w:val="00CB5639"/>
    <w:rsid w:val="00CD506D"/>
    <w:rsid w:val="00D0374D"/>
    <w:rsid w:val="00D3198C"/>
    <w:rsid w:val="00D37ED1"/>
    <w:rsid w:val="00D55864"/>
    <w:rsid w:val="00D62FF2"/>
    <w:rsid w:val="00E11C25"/>
    <w:rsid w:val="00E27D4F"/>
    <w:rsid w:val="00E8534F"/>
    <w:rsid w:val="00EB1935"/>
    <w:rsid w:val="00EF39F5"/>
    <w:rsid w:val="00F248E1"/>
    <w:rsid w:val="00F3032D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F27E"/>
  <w15:docId w15:val="{079CC572-FCFE-4817-BE2B-936E685F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93C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6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0A5"/>
  </w:style>
  <w:style w:type="paragraph" w:styleId="Footer">
    <w:name w:val="footer"/>
    <w:basedOn w:val="Normal"/>
    <w:link w:val="FooterChar"/>
    <w:uiPriority w:val="99"/>
    <w:unhideWhenUsed/>
    <w:rsid w:val="00746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0A5"/>
  </w:style>
  <w:style w:type="paragraph" w:styleId="ListParagraph">
    <w:name w:val="List Paragraph"/>
    <w:basedOn w:val="Normal"/>
    <w:uiPriority w:val="34"/>
    <w:qFormat/>
    <w:rsid w:val="00EF39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853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A3"/>
    <w:rPr>
      <w:b/>
      <w:bCs/>
      <w:sz w:val="20"/>
      <w:szCs w:val="20"/>
    </w:rPr>
  </w:style>
  <w:style w:type="paragraph" w:styleId="NoSpacing">
    <w:name w:val="No Spacing"/>
    <w:uiPriority w:val="1"/>
    <w:qFormat/>
    <w:rsid w:val="00063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7AD802A7C534AAEF268ACDCDFFFE9" ma:contentTypeVersion="16" ma:contentTypeDescription="Create a new document." ma:contentTypeScope="" ma:versionID="e2be3965832cca9deb0edfcd056e0fa8">
  <xsd:schema xmlns:xsd="http://www.w3.org/2001/XMLSchema" xmlns:xs="http://www.w3.org/2001/XMLSchema" xmlns:p="http://schemas.microsoft.com/office/2006/metadata/properties" xmlns:ns1="http://schemas.microsoft.com/sharepoint/v3" xmlns:ns3="8e2e0ca6-f5f9-48fe-9c9c-10cb6bdf5cba" xmlns:ns4="00067f0b-0793-4bbe-9191-2349e620f61d" targetNamespace="http://schemas.microsoft.com/office/2006/metadata/properties" ma:root="true" ma:fieldsID="b48c6015738f57e6aaacef993a512649" ns1:_="" ns3:_="" ns4:_="">
    <xsd:import namespace="http://schemas.microsoft.com/sharepoint/v3"/>
    <xsd:import namespace="8e2e0ca6-f5f9-48fe-9c9c-10cb6bdf5cba"/>
    <xsd:import namespace="00067f0b-0793-4bbe-9191-2349e620f61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e0ca6-f5f9-48fe-9c9c-10cb6bdf5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67f0b-0793-4bbe-9191-2349e620f61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B2124-8104-4225-A49E-07C39A938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9FA21-C70A-49EA-9C42-E8F36948516E}">
  <ds:schemaRefs>
    <ds:schemaRef ds:uri="00067f0b-0793-4bbe-9191-2349e620f61d"/>
    <ds:schemaRef ds:uri="http://purl.org/dc/elements/1.1/"/>
    <ds:schemaRef ds:uri="http://schemas.microsoft.com/office/infopath/2007/PartnerControls"/>
    <ds:schemaRef ds:uri="8e2e0ca6-f5f9-48fe-9c9c-10cb6bdf5cba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062852-75D2-4469-8192-8C670F44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e0ca6-f5f9-48fe-9c9c-10cb6bdf5cba"/>
    <ds:schemaRef ds:uri="00067f0b-0793-4bbe-9191-2349e620f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89EBC-A827-428B-AE82-F91A3065D1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&amp; West Birmingham Hospitals NHS Trust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Whitehouse.Jamie</dc:creator>
  <cp:lastModifiedBy>MAHMOOD, Subtan (SANDWELL AND WEST BIRMINGHAM HOSPITALS NHS TRUST)</cp:lastModifiedBy>
  <cp:revision>2</cp:revision>
  <cp:lastPrinted>2022-01-07T14:41:00Z</cp:lastPrinted>
  <dcterms:created xsi:type="dcterms:W3CDTF">2022-12-21T11:45:00Z</dcterms:created>
  <dcterms:modified xsi:type="dcterms:W3CDTF">2022-12-21T11:45:00Z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0x01010098B7AD802A7C534AAEF268ACDCDFFFE9</vt:lpwstr>
  </property>
</Properties>
</file>